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Pr="00C46843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C46843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C46843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C4684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C46843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C46843" w:rsidRDefault="00763CA1" w:rsidP="008007B7">
            <w:pPr>
              <w:rPr>
                <w:rFonts w:ascii="Times New Roman" w:hAnsi="Times New Roman" w:cs="Times New Roman"/>
              </w:rPr>
            </w:pPr>
            <w:r w:rsidRPr="00C4684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C46843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C46843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C4684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46843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C46843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46843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46843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C46843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C46843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C46843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C46843" w:rsidRDefault="00763CA1" w:rsidP="008007B7">
            <w:pPr>
              <w:rPr>
                <w:rFonts w:ascii="Times New Roman" w:hAnsi="Times New Roman" w:cs="Times New Roman"/>
              </w:rPr>
            </w:pPr>
            <w:r w:rsidRPr="00C46843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C46843" w:rsidRDefault="00763CA1" w:rsidP="008007B7">
            <w:pPr>
              <w:rPr>
                <w:rFonts w:ascii="Times New Roman" w:hAnsi="Times New Roman" w:cs="Times New Roman"/>
              </w:rPr>
            </w:pPr>
            <w:r w:rsidRPr="00C46843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C46843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C46843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57A98B81" w14:textId="5F1DCD2A" w:rsidR="00763CA1" w:rsidRPr="00C46843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BFB02B7" w14:textId="77777777" w:rsidR="00763CA1" w:rsidRPr="00C46843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5B3FC0" w:rsidR="004F2D1A" w:rsidRPr="00C46843" w:rsidRDefault="00902BBB" w:rsidP="00486AC8">
      <w:pPr>
        <w:spacing w:after="0" w:line="240" w:lineRule="auto"/>
        <w:rPr>
          <w:rFonts w:ascii="Times New Roman" w:hAnsi="Times New Roman" w:cs="Times New Roman"/>
        </w:rPr>
      </w:pPr>
      <w:r w:rsidRPr="00C46843">
        <w:rPr>
          <w:rFonts w:ascii="Times New Roman" w:hAnsi="Times New Roman" w:cs="Times New Roman"/>
          <w:color w:val="000000"/>
        </w:rPr>
        <w:t>GRADSKO VIJEĆE</w:t>
      </w:r>
    </w:p>
    <w:p w14:paraId="00860267" w14:textId="77777777" w:rsidR="00486AC8" w:rsidRPr="00C4684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C46843">
        <w:rPr>
          <w:rFonts w:ascii="Times New Roman" w:hAnsi="Times New Roman" w:cs="Times New Roman"/>
        </w:rPr>
        <w:t>KLASA</w:t>
      </w:r>
      <w:r w:rsidR="00486AC8" w:rsidRPr="00C46843">
        <w:rPr>
          <w:rFonts w:ascii="Times New Roman" w:hAnsi="Times New Roman" w:cs="Times New Roman"/>
        </w:rPr>
        <w:t xml:space="preserve">: </w:t>
      </w:r>
      <w:r w:rsidR="00411319" w:rsidRPr="00C46843">
        <w:rPr>
          <w:rFonts w:ascii="Times New Roman" w:hAnsi="Times New Roman" w:cs="Times New Roman"/>
        </w:rPr>
        <w:t>…….</w:t>
      </w:r>
    </w:p>
    <w:p w14:paraId="3016E031" w14:textId="77777777" w:rsidR="00486AC8" w:rsidRPr="00C4684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C46843">
        <w:rPr>
          <w:rFonts w:ascii="Times New Roman" w:hAnsi="Times New Roman" w:cs="Times New Roman"/>
        </w:rPr>
        <w:t>URBROJ</w:t>
      </w:r>
      <w:r w:rsidR="00486AC8" w:rsidRPr="00C46843">
        <w:rPr>
          <w:rFonts w:ascii="Times New Roman" w:hAnsi="Times New Roman" w:cs="Times New Roman"/>
        </w:rPr>
        <w:t xml:space="preserve">: </w:t>
      </w:r>
      <w:r w:rsidR="00411319" w:rsidRPr="00C46843">
        <w:rPr>
          <w:rFonts w:ascii="Times New Roman" w:hAnsi="Times New Roman" w:cs="Times New Roman"/>
        </w:rPr>
        <w:t>……</w:t>
      </w:r>
    </w:p>
    <w:p w14:paraId="78A3892C" w14:textId="77777777" w:rsidR="00486AC8" w:rsidRPr="00C4684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C46843">
        <w:rPr>
          <w:rFonts w:ascii="Times New Roman" w:hAnsi="Times New Roman" w:cs="Times New Roman"/>
        </w:rPr>
        <w:t xml:space="preserve">Karlovac, </w:t>
      </w:r>
      <w:r w:rsidR="00411319" w:rsidRPr="00C46843">
        <w:rPr>
          <w:rFonts w:ascii="Times New Roman" w:hAnsi="Times New Roman" w:cs="Times New Roman"/>
        </w:rPr>
        <w:t>…….</w:t>
      </w:r>
    </w:p>
    <w:p w14:paraId="6B5EEBBC" w14:textId="77777777" w:rsidR="006048B3" w:rsidRPr="00C46843" w:rsidRDefault="006048B3" w:rsidP="006A4F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20AEF6" w14:textId="7170B746" w:rsidR="00986D8C" w:rsidRPr="00C46843" w:rsidRDefault="00986D8C" w:rsidP="00986D8C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C46843"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   P r i j e d l o g !</w:t>
      </w:r>
    </w:p>
    <w:p w14:paraId="30E4FED1" w14:textId="7E8C3C80" w:rsidR="00986D8C" w:rsidRPr="00C46843" w:rsidRDefault="00986D8C" w:rsidP="00986D8C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7AE6E088" w14:textId="2C83F786" w:rsidR="00986D8C" w:rsidRPr="00C46843" w:rsidRDefault="00986D8C" w:rsidP="0098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OLE_LINK2"/>
      <w:bookmarkStart w:id="1" w:name="OLE_LINK1"/>
      <w:r w:rsidRPr="00C46843">
        <w:rPr>
          <w:rFonts w:ascii="Times New Roman" w:eastAsia="Times New Roman" w:hAnsi="Times New Roman" w:cs="Times New Roman"/>
          <w:lang w:eastAsia="hr-HR"/>
        </w:rPr>
        <w:t xml:space="preserve">Na temelju </w:t>
      </w:r>
      <w:r w:rsidRPr="00C46843">
        <w:rPr>
          <w:rFonts w:ascii="Times New Roman" w:eastAsia="TimesNewRoman" w:hAnsi="Times New Roman" w:cs="Times New Roman"/>
          <w:lang w:eastAsia="hr-HR"/>
        </w:rPr>
        <w:t>č</w:t>
      </w:r>
      <w:r w:rsidRPr="00C46843">
        <w:rPr>
          <w:rFonts w:ascii="Times New Roman" w:eastAsia="Times New Roman" w:hAnsi="Times New Roman" w:cs="Times New Roman"/>
          <w:lang w:eastAsia="hr-HR"/>
        </w:rPr>
        <w:t>lanaka 34. i 97. Statuta Grada Karlovca („Glasnik Grada Karlovca“ br. 1/15 – potpuni tekst</w:t>
      </w:r>
      <w:r w:rsidR="004D4F2B" w:rsidRPr="00C46843">
        <w:rPr>
          <w:rFonts w:ascii="Times New Roman" w:eastAsia="Times New Roman" w:hAnsi="Times New Roman" w:cs="Times New Roman"/>
          <w:lang w:eastAsia="hr-HR"/>
        </w:rPr>
        <w:t>, 3/18</w:t>
      </w:r>
      <w:r w:rsidR="009F5B2A" w:rsidRPr="00C46843">
        <w:rPr>
          <w:rFonts w:ascii="Times New Roman" w:eastAsia="Times New Roman" w:hAnsi="Times New Roman" w:cs="Times New Roman"/>
          <w:lang w:eastAsia="hr-HR"/>
        </w:rPr>
        <w:t>, 13/18</w:t>
      </w:r>
      <w:r w:rsidRPr="00C46843">
        <w:rPr>
          <w:rFonts w:ascii="Times New Roman" w:eastAsia="Times New Roman" w:hAnsi="Times New Roman" w:cs="Times New Roman"/>
          <w:lang w:eastAsia="hr-HR"/>
        </w:rPr>
        <w:t>)</w:t>
      </w:r>
      <w:r w:rsidR="00E60909">
        <w:rPr>
          <w:rFonts w:ascii="Times New Roman" w:eastAsia="Times New Roman" w:hAnsi="Times New Roman" w:cs="Times New Roman"/>
          <w:lang w:eastAsia="hr-HR"/>
        </w:rPr>
        <w:t xml:space="preserve">, </w:t>
      </w:r>
      <w:r w:rsidR="00C46843" w:rsidRPr="00C46843">
        <w:rPr>
          <w:rFonts w:ascii="Times New Roman" w:eastAsia="Times New Roman" w:hAnsi="Times New Roman" w:cs="Times New Roman"/>
          <w:lang w:eastAsia="hr-HR"/>
        </w:rPr>
        <w:t>članka 71. Zakona o komunalnom gospodarstvu („Narodne novine“ br. 68/18, 110/18)</w:t>
      </w:r>
      <w:r w:rsidR="00E60909">
        <w:rPr>
          <w:rFonts w:ascii="Times New Roman" w:eastAsia="Times New Roman" w:hAnsi="Times New Roman" w:cs="Times New Roman"/>
          <w:lang w:eastAsia="hr-HR"/>
        </w:rPr>
        <w:t xml:space="preserve"> i članka 6.</w:t>
      </w:r>
      <w:r w:rsidR="00E60909" w:rsidRPr="00E60909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E60909" w:rsidRPr="00C46843">
        <w:rPr>
          <w:rFonts w:ascii="Times New Roman" w:eastAsia="Times New Roman" w:hAnsi="Times New Roman" w:cs="Times New Roman"/>
          <w:iCs/>
          <w:lang w:eastAsia="hr-HR"/>
        </w:rPr>
        <w:t xml:space="preserve">Programom </w:t>
      </w:r>
      <w:r w:rsidR="00E60909" w:rsidRPr="00C46843">
        <w:rPr>
          <w:rFonts w:ascii="Times New Roman" w:eastAsia="Times New Roman" w:hAnsi="Times New Roman" w:cs="Times New Roman"/>
          <w:lang w:eastAsia="hr-HR"/>
        </w:rPr>
        <w:t xml:space="preserve">gradnje objekata i uređaja komunalne i druge infrastrukture </w:t>
      </w:r>
      <w:r w:rsidR="00E60909" w:rsidRPr="00C46843">
        <w:rPr>
          <w:rFonts w:ascii="Times New Roman" w:eastAsia="Times New Roman" w:hAnsi="Times New Roman" w:cs="Times New Roman"/>
          <w:iCs/>
          <w:lang w:eastAsia="hr-HR"/>
        </w:rPr>
        <w:t>u 201</w:t>
      </w:r>
      <w:r w:rsidR="00E60909">
        <w:rPr>
          <w:rFonts w:ascii="Times New Roman" w:eastAsia="Times New Roman" w:hAnsi="Times New Roman" w:cs="Times New Roman"/>
          <w:iCs/>
          <w:lang w:eastAsia="hr-HR"/>
        </w:rPr>
        <w:t>9</w:t>
      </w:r>
      <w:r w:rsidR="00E60909" w:rsidRPr="00C46843">
        <w:rPr>
          <w:rFonts w:ascii="Times New Roman" w:eastAsia="Times New Roman" w:hAnsi="Times New Roman" w:cs="Times New Roman"/>
          <w:iCs/>
          <w:lang w:eastAsia="hr-HR"/>
        </w:rPr>
        <w:t>. godini („Glasnik Grada Karlovca“ br.</w:t>
      </w:r>
      <w:r w:rsidR="00E60909" w:rsidRPr="00C46843">
        <w:rPr>
          <w:rFonts w:ascii="Times New Roman" w:eastAsia="Times New Roman" w:hAnsi="Times New Roman" w:cs="Times New Roman"/>
          <w:lang w:eastAsia="hr-HR"/>
        </w:rPr>
        <w:t xml:space="preserve"> 20/1</w:t>
      </w:r>
      <w:r w:rsidR="00E60909">
        <w:rPr>
          <w:rFonts w:ascii="Times New Roman" w:eastAsia="Times New Roman" w:hAnsi="Times New Roman" w:cs="Times New Roman"/>
          <w:lang w:eastAsia="hr-HR"/>
        </w:rPr>
        <w:t>8</w:t>
      </w:r>
      <w:r w:rsidR="00E60909" w:rsidRPr="00C46843">
        <w:rPr>
          <w:rFonts w:ascii="Times New Roman" w:eastAsia="Times New Roman" w:hAnsi="Times New Roman" w:cs="Times New Roman"/>
          <w:lang w:eastAsia="hr-HR"/>
        </w:rPr>
        <w:t xml:space="preserve">, </w:t>
      </w:r>
      <w:r w:rsidR="00E60909">
        <w:rPr>
          <w:rFonts w:ascii="Times New Roman" w:eastAsia="Times New Roman" w:hAnsi="Times New Roman" w:cs="Times New Roman"/>
          <w:lang w:eastAsia="hr-HR"/>
        </w:rPr>
        <w:t>7</w:t>
      </w:r>
      <w:r w:rsidR="00E60909" w:rsidRPr="00C46843">
        <w:rPr>
          <w:rFonts w:ascii="Times New Roman" w:eastAsia="Times New Roman" w:hAnsi="Times New Roman" w:cs="Times New Roman"/>
          <w:lang w:eastAsia="hr-HR"/>
        </w:rPr>
        <w:t>/1</w:t>
      </w:r>
      <w:r w:rsidR="00E60909">
        <w:rPr>
          <w:rFonts w:ascii="Times New Roman" w:eastAsia="Times New Roman" w:hAnsi="Times New Roman" w:cs="Times New Roman"/>
          <w:lang w:eastAsia="hr-HR"/>
        </w:rPr>
        <w:t>9</w:t>
      </w:r>
      <w:r w:rsidR="00E60909" w:rsidRPr="00C46843">
        <w:rPr>
          <w:rFonts w:ascii="Times New Roman" w:eastAsia="Times New Roman" w:hAnsi="Times New Roman" w:cs="Times New Roman"/>
          <w:lang w:eastAsia="hr-HR"/>
        </w:rPr>
        <w:t>, 1</w:t>
      </w:r>
      <w:r w:rsidR="00E60909">
        <w:rPr>
          <w:rFonts w:ascii="Times New Roman" w:eastAsia="Times New Roman" w:hAnsi="Times New Roman" w:cs="Times New Roman"/>
          <w:lang w:eastAsia="hr-HR"/>
        </w:rPr>
        <w:t>1</w:t>
      </w:r>
      <w:r w:rsidR="00E60909" w:rsidRPr="00C46843">
        <w:rPr>
          <w:rFonts w:ascii="Times New Roman" w:eastAsia="Times New Roman" w:hAnsi="Times New Roman" w:cs="Times New Roman"/>
          <w:lang w:eastAsia="hr-HR"/>
        </w:rPr>
        <w:t>/1</w:t>
      </w:r>
      <w:r w:rsidR="00E60909">
        <w:rPr>
          <w:rFonts w:ascii="Times New Roman" w:eastAsia="Times New Roman" w:hAnsi="Times New Roman" w:cs="Times New Roman"/>
          <w:lang w:eastAsia="hr-HR"/>
        </w:rPr>
        <w:t>9</w:t>
      </w:r>
      <w:r w:rsidR="00E60909" w:rsidRPr="00C46843">
        <w:rPr>
          <w:rFonts w:ascii="Times New Roman" w:eastAsia="Times New Roman" w:hAnsi="Times New Roman" w:cs="Times New Roman"/>
          <w:lang w:eastAsia="hr-HR"/>
        </w:rPr>
        <w:t>,</w:t>
      </w:r>
      <w:r w:rsidR="00E60909">
        <w:rPr>
          <w:rFonts w:ascii="Times New Roman" w:eastAsia="Times New Roman" w:hAnsi="Times New Roman" w:cs="Times New Roman"/>
          <w:lang w:eastAsia="hr-HR"/>
        </w:rPr>
        <w:t xml:space="preserve"> </w:t>
      </w:r>
      <w:r w:rsidR="00E60909" w:rsidRPr="00C46843">
        <w:rPr>
          <w:rFonts w:ascii="Times New Roman" w:eastAsia="Times New Roman" w:hAnsi="Times New Roman" w:cs="Times New Roman"/>
          <w:lang w:eastAsia="hr-HR"/>
        </w:rPr>
        <w:t>18/1</w:t>
      </w:r>
      <w:r w:rsidR="00E60909">
        <w:rPr>
          <w:rFonts w:ascii="Times New Roman" w:eastAsia="Times New Roman" w:hAnsi="Times New Roman" w:cs="Times New Roman"/>
          <w:lang w:eastAsia="hr-HR"/>
        </w:rPr>
        <w:t xml:space="preserve">9) </w:t>
      </w:r>
      <w:r w:rsidRPr="00C46843">
        <w:rPr>
          <w:rFonts w:ascii="Times New Roman" w:eastAsia="Times New Roman" w:hAnsi="Times New Roman" w:cs="Times New Roman"/>
          <w:lang w:eastAsia="hr-HR"/>
        </w:rPr>
        <w:t>Gradsko vije</w:t>
      </w:r>
      <w:r w:rsidRPr="00C46843">
        <w:rPr>
          <w:rFonts w:ascii="Times New Roman" w:eastAsia="TimesNewRoman" w:hAnsi="Times New Roman" w:cs="Times New Roman"/>
          <w:lang w:eastAsia="hr-HR"/>
        </w:rPr>
        <w:t>ć</w:t>
      </w:r>
      <w:r w:rsidRPr="00C46843">
        <w:rPr>
          <w:rFonts w:ascii="Times New Roman" w:eastAsia="Times New Roman" w:hAnsi="Times New Roman" w:cs="Times New Roman"/>
          <w:lang w:eastAsia="hr-HR"/>
        </w:rPr>
        <w:t xml:space="preserve">e Grada Karlovca na     </w:t>
      </w:r>
      <w:r w:rsidR="009F5B2A" w:rsidRPr="00C46843">
        <w:rPr>
          <w:rFonts w:ascii="Times New Roman" w:eastAsia="Times New Roman" w:hAnsi="Times New Roman" w:cs="Times New Roman"/>
          <w:lang w:eastAsia="hr-HR"/>
        </w:rPr>
        <w:t>sjednici održanoj dana      20</w:t>
      </w:r>
      <w:r w:rsidR="00F50896">
        <w:rPr>
          <w:rFonts w:ascii="Times New Roman" w:eastAsia="Times New Roman" w:hAnsi="Times New Roman" w:cs="Times New Roman"/>
          <w:lang w:eastAsia="hr-HR"/>
        </w:rPr>
        <w:t>20</w:t>
      </w:r>
      <w:r w:rsidRPr="00C46843">
        <w:rPr>
          <w:rFonts w:ascii="Times New Roman" w:eastAsia="Times New Roman" w:hAnsi="Times New Roman" w:cs="Times New Roman"/>
          <w:lang w:eastAsia="hr-HR"/>
        </w:rPr>
        <w:t>. godine, donosi</w:t>
      </w:r>
    </w:p>
    <w:p w14:paraId="0640B912" w14:textId="77777777" w:rsidR="00986D8C" w:rsidRPr="00C46843" w:rsidRDefault="00986D8C" w:rsidP="0098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bookmarkEnd w:id="0"/>
    <w:bookmarkEnd w:id="1"/>
    <w:p w14:paraId="4A70D9A2" w14:textId="77777777" w:rsidR="00014D40" w:rsidRPr="00C46843" w:rsidRDefault="00014D40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71A874B1" w14:textId="77777777" w:rsidR="00986D8C" w:rsidRPr="00C46843" w:rsidRDefault="00986D8C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>ZAKLJUČAK</w:t>
      </w:r>
    </w:p>
    <w:p w14:paraId="6691966C" w14:textId="77777777" w:rsidR="00986D8C" w:rsidRPr="00C46843" w:rsidRDefault="00986D8C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29FAE55" w14:textId="77777777" w:rsidR="00986D8C" w:rsidRPr="00C46843" w:rsidRDefault="00986D8C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>I.</w:t>
      </w:r>
    </w:p>
    <w:p w14:paraId="32EFCBD2" w14:textId="77777777" w:rsidR="00986D8C" w:rsidRPr="00C46843" w:rsidRDefault="00986D8C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46B0212" w14:textId="510FCBB8" w:rsidR="00986D8C" w:rsidRPr="00C46843" w:rsidRDefault="00986D8C" w:rsidP="00986D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 xml:space="preserve">           Prihvaća se Izvješće o izvršenju Programa gradnje objekata i uređaja komunal</w:t>
      </w:r>
      <w:r w:rsidR="009F5B2A" w:rsidRPr="00C46843">
        <w:rPr>
          <w:rFonts w:ascii="Times New Roman" w:eastAsia="Times New Roman" w:hAnsi="Times New Roman" w:cs="Times New Roman"/>
          <w:lang w:eastAsia="hr-HR"/>
        </w:rPr>
        <w:t>ne i druge infrastrukture u 201</w:t>
      </w:r>
      <w:r w:rsidR="00F50896">
        <w:rPr>
          <w:rFonts w:ascii="Times New Roman" w:eastAsia="Times New Roman" w:hAnsi="Times New Roman" w:cs="Times New Roman"/>
          <w:lang w:eastAsia="hr-HR"/>
        </w:rPr>
        <w:t>9</w:t>
      </w:r>
      <w:r w:rsidRPr="00C46843">
        <w:rPr>
          <w:rFonts w:ascii="Times New Roman" w:eastAsia="Times New Roman" w:hAnsi="Times New Roman" w:cs="Times New Roman"/>
          <w:lang w:eastAsia="hr-HR"/>
        </w:rPr>
        <w:t xml:space="preserve">. godini koje je sastavni dio ovog Zaključka. </w:t>
      </w:r>
    </w:p>
    <w:p w14:paraId="083B2AA9" w14:textId="77777777" w:rsidR="00986D8C" w:rsidRPr="00C46843" w:rsidRDefault="00986D8C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0E038C2" w14:textId="77777777" w:rsidR="00986D8C" w:rsidRPr="00C46843" w:rsidRDefault="00986D8C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>II.</w:t>
      </w:r>
    </w:p>
    <w:p w14:paraId="14EE607E" w14:textId="77777777" w:rsidR="00986D8C" w:rsidRPr="00C46843" w:rsidRDefault="00986D8C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17F87879" w14:textId="77777777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 xml:space="preserve">             Ovaj Zaključak objavit će se u „Glasniku Grada Karlovca“ zajedno s Izvješćem iz </w:t>
      </w:r>
      <w:proofErr w:type="spellStart"/>
      <w:r w:rsidRPr="00C46843">
        <w:rPr>
          <w:rFonts w:ascii="Times New Roman" w:eastAsia="Times New Roman" w:hAnsi="Times New Roman" w:cs="Times New Roman"/>
          <w:lang w:eastAsia="hr-HR"/>
        </w:rPr>
        <w:t>toč</w:t>
      </w:r>
      <w:proofErr w:type="spellEnd"/>
      <w:r w:rsidRPr="00C46843">
        <w:rPr>
          <w:rFonts w:ascii="Times New Roman" w:eastAsia="Times New Roman" w:hAnsi="Times New Roman" w:cs="Times New Roman"/>
          <w:lang w:eastAsia="hr-HR"/>
        </w:rPr>
        <w:t>. I. ovog Zaključka.</w:t>
      </w:r>
    </w:p>
    <w:p w14:paraId="3232845D" w14:textId="77777777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570CA56C" w14:textId="77777777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1B32FE92" w14:textId="5830656B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   </w:t>
      </w:r>
      <w:r w:rsidR="009F5B2A" w:rsidRPr="00C46843">
        <w:rPr>
          <w:rFonts w:ascii="Times New Roman" w:eastAsia="Times New Roman" w:hAnsi="Times New Roman" w:cs="Times New Roman"/>
          <w:b/>
          <w:lang w:eastAsia="hr-HR"/>
        </w:rPr>
        <w:t xml:space="preserve">                    PREDSJEDNIK</w:t>
      </w:r>
      <w:r w:rsidRPr="00C46843">
        <w:rPr>
          <w:rFonts w:ascii="Times New Roman" w:eastAsia="Times New Roman" w:hAnsi="Times New Roman" w:cs="Times New Roman"/>
          <w:b/>
          <w:lang w:eastAsia="hr-HR"/>
        </w:rPr>
        <w:t xml:space="preserve"> </w:t>
      </w:r>
    </w:p>
    <w:p w14:paraId="0E5CF4D1" w14:textId="77777777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GRADSKOG VIJEĆA GRADA KARLOVCA</w:t>
      </w:r>
    </w:p>
    <w:p w14:paraId="1F28BE3C" w14:textId="3CD8CAD4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</w:t>
      </w:r>
      <w:r w:rsidR="00014D40" w:rsidRPr="00C46843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</w:t>
      </w:r>
      <w:r w:rsidR="009F5B2A" w:rsidRPr="00C46843">
        <w:rPr>
          <w:rFonts w:ascii="Times New Roman" w:eastAsia="Times New Roman" w:hAnsi="Times New Roman" w:cs="Times New Roman"/>
          <w:b/>
          <w:lang w:eastAsia="hr-HR"/>
        </w:rPr>
        <w:t xml:space="preserve"> Matija Furač, struč.spec.oec</w:t>
      </w:r>
      <w:r w:rsidRPr="00C46843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7916C222" w14:textId="77777777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9229759" w14:textId="77777777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F151B0E" w14:textId="49812966" w:rsidR="00986D8C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B1E1215" w14:textId="77777777" w:rsidR="004A0882" w:rsidRPr="00C46843" w:rsidRDefault="004A0882" w:rsidP="00986D8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3FFCC0D" w14:textId="77777777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>DOSTAVITI:</w:t>
      </w:r>
    </w:p>
    <w:p w14:paraId="7743DC45" w14:textId="5D0F1D18" w:rsidR="00986D8C" w:rsidRPr="00C46843" w:rsidRDefault="009F5B2A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Ured gradonačelnika</w:t>
      </w:r>
      <w:r w:rsidR="00986D8C" w:rsidRPr="00C46843">
        <w:rPr>
          <w:rFonts w:ascii="Times New Roman" w:eastAsia="Times New Roman" w:hAnsi="Times New Roman" w:cs="Times New Roman"/>
          <w:lang w:eastAsia="hr-HR"/>
        </w:rPr>
        <w:t>, ovdje</w:t>
      </w:r>
    </w:p>
    <w:p w14:paraId="01664333" w14:textId="77777777" w:rsidR="00986D8C" w:rsidRPr="00C46843" w:rsidRDefault="00986D8C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Upravni odjel za proračun i financije, ovdje</w:t>
      </w:r>
    </w:p>
    <w:p w14:paraId="4B2CA004" w14:textId="77777777" w:rsidR="00986D8C" w:rsidRPr="00C46843" w:rsidRDefault="00986D8C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Upravni odjel za prostorno uređenje, gradnju i zaštitu okoliša, ovdje, 2x</w:t>
      </w:r>
    </w:p>
    <w:p w14:paraId="48DA02FD" w14:textId="638D01E5" w:rsidR="00986D8C" w:rsidRPr="00C46843" w:rsidRDefault="00113F1C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Upravni odjel za društvene</w:t>
      </w:r>
      <w:r w:rsidR="00986D8C" w:rsidRPr="00C46843">
        <w:rPr>
          <w:rFonts w:ascii="Times New Roman" w:eastAsia="Times New Roman" w:hAnsi="Times New Roman" w:cs="Times New Roman"/>
          <w:lang w:eastAsia="hr-HR"/>
        </w:rPr>
        <w:t xml:space="preserve"> djelatnosti, ovdje</w:t>
      </w:r>
    </w:p>
    <w:p w14:paraId="27DC03F4" w14:textId="018641EA" w:rsidR="009F5B2A" w:rsidRDefault="009F5B2A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Gradski muzej Karlovac, Trg Josipa J. Strossmayera 7, Karlovac</w:t>
      </w:r>
    </w:p>
    <w:p w14:paraId="169B6216" w14:textId="7F84248D" w:rsidR="009C4473" w:rsidRPr="00C46843" w:rsidRDefault="009C4473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Ministarstvo graditeljstva i prostornoga uređenja,</w:t>
      </w:r>
      <w:r w:rsidR="00A47D25">
        <w:rPr>
          <w:rFonts w:ascii="Times New Roman" w:eastAsia="Times New Roman" w:hAnsi="Times New Roman" w:cs="Times New Roman"/>
          <w:lang w:eastAsia="hr-HR"/>
        </w:rPr>
        <w:t xml:space="preserve"> Ulica Republike Austrije 20, Zagreb</w:t>
      </w:r>
    </w:p>
    <w:p w14:paraId="2D459CFD" w14:textId="77777777" w:rsidR="00986D8C" w:rsidRPr="00C46843" w:rsidRDefault="00986D8C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62A45EAA" w14:textId="77777777" w:rsidR="00986D8C" w:rsidRPr="00C46843" w:rsidRDefault="00986D8C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Dokumentacija</w:t>
      </w:r>
    </w:p>
    <w:p w14:paraId="56D087E8" w14:textId="77777777" w:rsidR="00986D8C" w:rsidRPr="00C46843" w:rsidRDefault="00986D8C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18FABB8E" w14:textId="77777777" w:rsidR="00986D8C" w:rsidRPr="00C46843" w:rsidRDefault="00986D8C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Zapisnik</w:t>
      </w:r>
    </w:p>
    <w:p w14:paraId="65F9FC1E" w14:textId="77777777" w:rsidR="00986D8C" w:rsidRPr="00C46843" w:rsidRDefault="00986D8C" w:rsidP="00986D8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Pismohrana</w:t>
      </w:r>
    </w:p>
    <w:p w14:paraId="665A0A25" w14:textId="77777777" w:rsidR="00014D40" w:rsidRDefault="00014D40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275FBFB" w14:textId="37E1BA01" w:rsidR="006F7E7B" w:rsidRDefault="006F7E7B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9A99400" w14:textId="299FA376" w:rsidR="00CA44F2" w:rsidRDefault="00CA44F2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C4EA913" w14:textId="77777777" w:rsidR="00CA44F2" w:rsidRPr="00C46843" w:rsidRDefault="00CA44F2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B14D316" w14:textId="77777777" w:rsidR="00986D8C" w:rsidRPr="00C46843" w:rsidRDefault="00986D8C" w:rsidP="00986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58F2CEC7" w14:textId="77777777" w:rsidR="00986D8C" w:rsidRPr="00C46843" w:rsidRDefault="00986D8C" w:rsidP="00986D8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hr-HR"/>
        </w:rPr>
      </w:pPr>
    </w:p>
    <w:p w14:paraId="75F395AF" w14:textId="31D930D2" w:rsidR="00986D8C" w:rsidRPr="00101832" w:rsidRDefault="00986D8C" w:rsidP="00986D8C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trike/>
          <w:spacing w:val="-3"/>
          <w:lang w:val="en-AU"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 xml:space="preserve">       </w:t>
      </w:r>
      <w:r w:rsidRPr="00C46843">
        <w:rPr>
          <w:rFonts w:ascii="Times New Roman" w:eastAsia="Times New Roman" w:hAnsi="Times New Roman" w:cs="Times New Roman"/>
          <w:iCs/>
          <w:lang w:eastAsia="hr-HR"/>
        </w:rPr>
        <w:t xml:space="preserve">  Programom </w:t>
      </w:r>
      <w:r w:rsidRPr="00C46843">
        <w:rPr>
          <w:rFonts w:ascii="Times New Roman" w:eastAsia="Times New Roman" w:hAnsi="Times New Roman" w:cs="Times New Roman"/>
          <w:lang w:eastAsia="hr-HR"/>
        </w:rPr>
        <w:t xml:space="preserve">gradnje objekata i uređaja komunalne i druge infrastrukture </w:t>
      </w:r>
      <w:r w:rsidR="009F5B2A" w:rsidRPr="00C46843">
        <w:rPr>
          <w:rFonts w:ascii="Times New Roman" w:eastAsia="Times New Roman" w:hAnsi="Times New Roman" w:cs="Times New Roman"/>
          <w:iCs/>
          <w:lang w:eastAsia="hr-HR"/>
        </w:rPr>
        <w:t>u 201</w:t>
      </w:r>
      <w:r w:rsidR="00F52999">
        <w:rPr>
          <w:rFonts w:ascii="Times New Roman" w:eastAsia="Times New Roman" w:hAnsi="Times New Roman" w:cs="Times New Roman"/>
          <w:iCs/>
          <w:lang w:eastAsia="hr-HR"/>
        </w:rPr>
        <w:t>9</w:t>
      </w:r>
      <w:r w:rsidRPr="00C46843">
        <w:rPr>
          <w:rFonts w:ascii="Times New Roman" w:eastAsia="Times New Roman" w:hAnsi="Times New Roman" w:cs="Times New Roman"/>
          <w:iCs/>
          <w:lang w:eastAsia="hr-HR"/>
        </w:rPr>
        <w:t>. godini („Glasnik Grada Karlovca“</w:t>
      </w:r>
      <w:r w:rsidR="002A0FFE" w:rsidRPr="00C46843">
        <w:rPr>
          <w:rFonts w:ascii="Times New Roman" w:eastAsia="Times New Roman" w:hAnsi="Times New Roman" w:cs="Times New Roman"/>
          <w:iCs/>
          <w:lang w:eastAsia="hr-HR"/>
        </w:rPr>
        <w:t xml:space="preserve"> br.</w:t>
      </w:r>
      <w:r w:rsidR="002A0FFE" w:rsidRPr="00C46843">
        <w:rPr>
          <w:rFonts w:ascii="Times New Roman" w:eastAsia="Times New Roman" w:hAnsi="Times New Roman" w:cs="Times New Roman"/>
          <w:lang w:eastAsia="hr-HR"/>
        </w:rPr>
        <w:t xml:space="preserve"> 20/1</w:t>
      </w:r>
      <w:r w:rsidR="00F52999">
        <w:rPr>
          <w:rFonts w:ascii="Times New Roman" w:eastAsia="Times New Roman" w:hAnsi="Times New Roman" w:cs="Times New Roman"/>
          <w:lang w:eastAsia="hr-HR"/>
        </w:rPr>
        <w:t>8</w:t>
      </w:r>
      <w:r w:rsidR="002A0FFE" w:rsidRPr="00C46843">
        <w:rPr>
          <w:rFonts w:ascii="Times New Roman" w:eastAsia="Times New Roman" w:hAnsi="Times New Roman" w:cs="Times New Roman"/>
          <w:lang w:eastAsia="hr-HR"/>
        </w:rPr>
        <w:t xml:space="preserve">, </w:t>
      </w:r>
      <w:r w:rsidR="00F52999">
        <w:rPr>
          <w:rFonts w:ascii="Times New Roman" w:eastAsia="Times New Roman" w:hAnsi="Times New Roman" w:cs="Times New Roman"/>
          <w:lang w:eastAsia="hr-HR"/>
        </w:rPr>
        <w:t>7</w:t>
      </w:r>
      <w:r w:rsidR="002A0FFE" w:rsidRPr="00C46843">
        <w:rPr>
          <w:rFonts w:ascii="Times New Roman" w:eastAsia="Times New Roman" w:hAnsi="Times New Roman" w:cs="Times New Roman"/>
          <w:lang w:eastAsia="hr-HR"/>
        </w:rPr>
        <w:t>/1</w:t>
      </w:r>
      <w:r w:rsidR="00F52999">
        <w:rPr>
          <w:rFonts w:ascii="Times New Roman" w:eastAsia="Times New Roman" w:hAnsi="Times New Roman" w:cs="Times New Roman"/>
          <w:lang w:eastAsia="hr-HR"/>
        </w:rPr>
        <w:t>9</w:t>
      </w:r>
      <w:r w:rsidR="002A0FFE" w:rsidRPr="00C46843">
        <w:rPr>
          <w:rFonts w:ascii="Times New Roman" w:eastAsia="Times New Roman" w:hAnsi="Times New Roman" w:cs="Times New Roman"/>
          <w:lang w:eastAsia="hr-HR"/>
        </w:rPr>
        <w:t>, 1</w:t>
      </w:r>
      <w:r w:rsidR="00F52999">
        <w:rPr>
          <w:rFonts w:ascii="Times New Roman" w:eastAsia="Times New Roman" w:hAnsi="Times New Roman" w:cs="Times New Roman"/>
          <w:lang w:eastAsia="hr-HR"/>
        </w:rPr>
        <w:t>1</w:t>
      </w:r>
      <w:r w:rsidR="002A0FFE" w:rsidRPr="00C46843">
        <w:rPr>
          <w:rFonts w:ascii="Times New Roman" w:eastAsia="Times New Roman" w:hAnsi="Times New Roman" w:cs="Times New Roman"/>
          <w:lang w:eastAsia="hr-HR"/>
        </w:rPr>
        <w:t>/1</w:t>
      </w:r>
      <w:r w:rsidR="00F52999">
        <w:rPr>
          <w:rFonts w:ascii="Times New Roman" w:eastAsia="Times New Roman" w:hAnsi="Times New Roman" w:cs="Times New Roman"/>
          <w:lang w:eastAsia="hr-HR"/>
        </w:rPr>
        <w:t>9</w:t>
      </w:r>
      <w:r w:rsidR="002A0FFE" w:rsidRPr="00C46843">
        <w:rPr>
          <w:rFonts w:ascii="Times New Roman" w:eastAsia="Times New Roman" w:hAnsi="Times New Roman" w:cs="Times New Roman"/>
          <w:lang w:eastAsia="hr-HR"/>
        </w:rPr>
        <w:t>,</w:t>
      </w:r>
      <w:r w:rsidR="00F52999">
        <w:rPr>
          <w:rFonts w:ascii="Times New Roman" w:eastAsia="Times New Roman" w:hAnsi="Times New Roman" w:cs="Times New Roman"/>
          <w:lang w:eastAsia="hr-HR"/>
        </w:rPr>
        <w:t xml:space="preserve"> </w:t>
      </w:r>
      <w:r w:rsidR="002A0FFE" w:rsidRPr="00C46843">
        <w:rPr>
          <w:rFonts w:ascii="Times New Roman" w:eastAsia="Times New Roman" w:hAnsi="Times New Roman" w:cs="Times New Roman"/>
          <w:lang w:eastAsia="hr-HR"/>
        </w:rPr>
        <w:t>18/1</w:t>
      </w:r>
      <w:r w:rsidR="00F52999">
        <w:rPr>
          <w:rFonts w:ascii="Times New Roman" w:eastAsia="Times New Roman" w:hAnsi="Times New Roman" w:cs="Times New Roman"/>
          <w:lang w:eastAsia="hr-HR"/>
        </w:rPr>
        <w:t>9</w:t>
      </w:r>
      <w:r w:rsidRPr="00C46843">
        <w:rPr>
          <w:rFonts w:ascii="Times New Roman" w:eastAsia="Times New Roman" w:hAnsi="Times New Roman" w:cs="Times New Roman"/>
          <w:lang w:eastAsia="hr-HR"/>
        </w:rPr>
        <w:t>,</w:t>
      </w:r>
      <w:r w:rsidRPr="00C46843">
        <w:rPr>
          <w:rFonts w:ascii="Times New Roman" w:eastAsia="Times New Roman" w:hAnsi="Times New Roman" w:cs="Times New Roman"/>
          <w:iCs/>
          <w:lang w:eastAsia="hr-HR"/>
        </w:rPr>
        <w:t xml:space="preserve"> dalje u tekstu: Program) </w:t>
      </w:r>
      <w:proofErr w:type="spellStart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>određene</w:t>
      </w:r>
      <w:proofErr w:type="spellEnd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 xml:space="preserve"> </w:t>
      </w:r>
      <w:proofErr w:type="spellStart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>su</w:t>
      </w:r>
      <w:proofErr w:type="spellEnd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 xml:space="preserve"> </w:t>
      </w:r>
      <w:proofErr w:type="spellStart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>aktivnosti</w:t>
      </w:r>
      <w:proofErr w:type="spellEnd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 xml:space="preserve"> </w:t>
      </w:r>
      <w:proofErr w:type="spellStart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>i</w:t>
      </w:r>
      <w:proofErr w:type="spellEnd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 xml:space="preserve"> </w:t>
      </w:r>
      <w:proofErr w:type="spellStart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>projekti</w:t>
      </w:r>
      <w:proofErr w:type="spellEnd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 xml:space="preserve"> </w:t>
      </w:r>
      <w:proofErr w:type="spellStart"/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>vezani</w:t>
      </w:r>
      <w:proofErr w:type="spellEnd"/>
      <w:r w:rsidR="00101832" w:rsidRPr="00467E40">
        <w:rPr>
          <w:rFonts w:ascii="Times New Roman" w:eastAsia="Times New Roman" w:hAnsi="Times New Roman" w:cs="Times New Roman"/>
        </w:rPr>
        <w:t xml:space="preserve"> uz gradnju objekata i uređaja komunalne infrastrukture</w:t>
      </w:r>
      <w:r w:rsidR="00101832">
        <w:rPr>
          <w:rFonts w:ascii="Times New Roman" w:eastAsia="Times New Roman" w:hAnsi="Times New Roman" w:cs="Times New Roman"/>
        </w:rPr>
        <w:t xml:space="preserve"> </w:t>
      </w:r>
      <w:r w:rsidR="00101832" w:rsidRPr="00467E40">
        <w:rPr>
          <w:rFonts w:ascii="Times New Roman" w:eastAsia="Times New Roman" w:hAnsi="Times New Roman" w:cs="Times New Roman"/>
        </w:rPr>
        <w:t>(nerazvrstane ceste, groblja, javne površine na kojima nije dopušten promet motornim vozilima i dr.), kao i druge infrastrukture društvene i javne namjene te izradu projektne dokumentacije</w:t>
      </w:r>
      <w:r w:rsidR="00101832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>.</w:t>
      </w:r>
    </w:p>
    <w:p w14:paraId="1CC26246" w14:textId="3B51D604" w:rsidR="00986D8C" w:rsidRPr="00C46843" w:rsidRDefault="00986D8C" w:rsidP="00986D8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 xml:space="preserve">      </w:t>
      </w:r>
      <w:r w:rsidR="00AF17D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 xml:space="preserve">  </w:t>
      </w:r>
      <w:r w:rsidRPr="00C46843">
        <w:rPr>
          <w:rFonts w:ascii="Times New Roman" w:eastAsia="Times New Roman" w:hAnsi="Times New Roman" w:cs="Times New Roman"/>
          <w:iCs/>
          <w:spacing w:val="-3"/>
          <w:lang w:val="en-AU" w:eastAsia="hr-HR"/>
        </w:rPr>
        <w:t xml:space="preserve"> </w:t>
      </w:r>
      <w:r w:rsidRPr="00C46843">
        <w:rPr>
          <w:rFonts w:ascii="Times New Roman" w:eastAsia="Times New Roman" w:hAnsi="Times New Roman" w:cs="Times New Roman"/>
          <w:spacing w:val="-3"/>
          <w:lang w:val="pl-PL" w:eastAsia="hr-HR"/>
        </w:rPr>
        <w:t>Čl</w:t>
      </w:r>
      <w:r w:rsidR="00C46843" w:rsidRPr="00C46843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ankom 71. </w:t>
      </w:r>
      <w:r w:rsidRPr="00C46843">
        <w:rPr>
          <w:rFonts w:ascii="Times New Roman" w:eastAsia="Times New Roman" w:hAnsi="Times New Roman" w:cs="Times New Roman"/>
          <w:spacing w:val="-3"/>
          <w:lang w:val="pl-PL" w:eastAsia="hr-HR"/>
        </w:rPr>
        <w:t>Zakona o komunalnom gospodarstvu</w:t>
      </w:r>
      <w:r w:rsidR="002A0FFE" w:rsidRPr="00C46843">
        <w:rPr>
          <w:rFonts w:ascii="Times New Roman" w:eastAsia="Times New Roman" w:hAnsi="Times New Roman" w:cs="Times New Roman"/>
        </w:rPr>
        <w:t xml:space="preserve"> („Narodne novine“</w:t>
      </w:r>
      <w:r w:rsidR="00C46843" w:rsidRPr="00C46843">
        <w:rPr>
          <w:rFonts w:ascii="Times New Roman" w:hAnsi="Times New Roman" w:cs="Times New Roman"/>
        </w:rPr>
        <w:t xml:space="preserve"> br. 68/18, 110/18</w:t>
      </w:r>
      <w:r w:rsidR="002A0FFE" w:rsidRPr="00C46843">
        <w:rPr>
          <w:rFonts w:ascii="Times New Roman" w:eastAsia="Times New Roman" w:hAnsi="Times New Roman" w:cs="Times New Roman"/>
        </w:rPr>
        <w:t>)</w:t>
      </w:r>
      <w:r w:rsidRPr="00C46843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propisana je obveza gradonačelnika na podnošenje izvješća predstavničkom tijelu o izvršenju Programa</w:t>
      </w:r>
      <w:r w:rsidR="00C46843" w:rsidRPr="00C46843"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za prethodnu kalendarsku godinu</w:t>
      </w:r>
      <w:r w:rsidR="00C46843">
        <w:rPr>
          <w:rFonts w:ascii="Times New Roman" w:eastAsia="Times New Roman" w:hAnsi="Times New Roman" w:cs="Times New Roman"/>
          <w:spacing w:val="-3"/>
          <w:lang w:val="pl-PL" w:eastAsia="hr-HR"/>
        </w:rPr>
        <w:t>, a koje se podnosi istodobno s izvješćem o izvršenju proračuna</w:t>
      </w:r>
      <w:r w:rsidRPr="00C46843">
        <w:rPr>
          <w:rFonts w:ascii="Times New Roman" w:eastAsia="Times New Roman" w:hAnsi="Times New Roman" w:cs="Times New Roman"/>
          <w:spacing w:val="-3"/>
          <w:lang w:val="pl-PL" w:eastAsia="hr-HR"/>
        </w:rPr>
        <w:t>.</w:t>
      </w:r>
    </w:p>
    <w:p w14:paraId="6840C91B" w14:textId="77777777" w:rsidR="00986D8C" w:rsidRPr="00C46843" w:rsidRDefault="00986D8C" w:rsidP="00986D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C46843">
        <w:rPr>
          <w:rFonts w:ascii="Times New Roman" w:eastAsia="Times New Roman" w:hAnsi="Times New Roman" w:cs="Times New Roman"/>
          <w:iCs/>
          <w:lang w:eastAsia="hr-HR"/>
        </w:rPr>
        <w:t xml:space="preserve">        Slijedom navedene obveze, ovim Izvješćem daje se iskaz utrošenih sredstva i kratki opis pojedinih ostvarenih aktivnosti, a sve u cilju cjelovitog prikaza izvršenja, odnosno realizacije Programa.</w:t>
      </w:r>
    </w:p>
    <w:p w14:paraId="49218A6F" w14:textId="77777777" w:rsidR="002E611F" w:rsidRDefault="002A0FFE" w:rsidP="002E611F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</w:rPr>
      </w:pPr>
      <w:r w:rsidRPr="00C46843">
        <w:rPr>
          <w:rFonts w:ascii="Times New Roman" w:eastAsia="Times New Roman" w:hAnsi="Times New Roman" w:cs="Times New Roman"/>
          <w:iCs/>
          <w:lang w:eastAsia="hr-HR"/>
        </w:rPr>
        <w:t xml:space="preserve">        Program je tijekom 201</w:t>
      </w:r>
      <w:r w:rsidR="00101832">
        <w:rPr>
          <w:rFonts w:ascii="Times New Roman" w:eastAsia="Times New Roman" w:hAnsi="Times New Roman" w:cs="Times New Roman"/>
          <w:iCs/>
          <w:lang w:eastAsia="hr-HR"/>
        </w:rPr>
        <w:t>9</w:t>
      </w:r>
      <w:r w:rsidR="00986D8C" w:rsidRPr="00C46843">
        <w:rPr>
          <w:rFonts w:ascii="Times New Roman" w:eastAsia="Times New Roman" w:hAnsi="Times New Roman" w:cs="Times New Roman"/>
          <w:iCs/>
          <w:lang w:eastAsia="hr-HR"/>
        </w:rPr>
        <w:t xml:space="preserve">. godine, sukladno izmjenama i dopunama </w:t>
      </w:r>
      <w:r w:rsidR="00B7062A" w:rsidRPr="00C46843">
        <w:rPr>
          <w:rFonts w:ascii="Times New Roman" w:eastAsia="Times New Roman" w:hAnsi="Times New Roman" w:cs="Times New Roman"/>
          <w:iCs/>
          <w:lang w:eastAsia="hr-HR"/>
        </w:rPr>
        <w:t>Proračuna Grada Karlovca</w:t>
      </w:r>
      <w:r w:rsidR="00986D8C" w:rsidRPr="00C46843">
        <w:rPr>
          <w:rFonts w:ascii="Times New Roman" w:eastAsia="Times New Roman" w:hAnsi="Times New Roman" w:cs="Times New Roman"/>
          <w:iCs/>
          <w:lang w:eastAsia="hr-HR"/>
        </w:rPr>
        <w:t>, doživio određene izmjene te su konačno planirana sredstva u</w:t>
      </w:r>
      <w:r w:rsidRPr="00C46843">
        <w:rPr>
          <w:rFonts w:ascii="Times New Roman" w:eastAsia="Times New Roman" w:hAnsi="Times New Roman" w:cs="Times New Roman"/>
          <w:iCs/>
          <w:lang w:eastAsia="hr-HR"/>
        </w:rPr>
        <w:t xml:space="preserve"> Programu iznosila</w:t>
      </w:r>
      <w:r w:rsidR="00217A9C">
        <w:rPr>
          <w:rFonts w:ascii="Times New Roman" w:eastAsia="Times New Roman" w:hAnsi="Times New Roman" w:cs="Times New Roman"/>
          <w:iCs/>
          <w:lang w:eastAsia="hr-HR"/>
        </w:rPr>
        <w:t xml:space="preserve"> 54.907.896,00 </w:t>
      </w:r>
      <w:r w:rsidR="00986D8C" w:rsidRPr="00C46843">
        <w:rPr>
          <w:rFonts w:ascii="Times New Roman" w:eastAsia="Times New Roman" w:hAnsi="Times New Roman" w:cs="Times New Roman"/>
          <w:iCs/>
          <w:lang w:eastAsia="hr-HR"/>
        </w:rPr>
        <w:t>kuna od čega je realiziran</w:t>
      </w:r>
      <w:r w:rsidR="00014D40" w:rsidRPr="00C46843">
        <w:rPr>
          <w:rFonts w:ascii="Times New Roman" w:eastAsia="Times New Roman" w:hAnsi="Times New Roman" w:cs="Times New Roman"/>
          <w:iCs/>
          <w:lang w:eastAsia="hr-HR"/>
        </w:rPr>
        <w:t>o</w:t>
      </w:r>
      <w:r w:rsidR="00DE4DA2" w:rsidRPr="00C46843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217A9C">
        <w:rPr>
          <w:rFonts w:ascii="Times New Roman" w:eastAsia="Times New Roman" w:hAnsi="Times New Roman" w:cs="Times New Roman"/>
          <w:iCs/>
          <w:lang w:eastAsia="hr-HR"/>
        </w:rPr>
        <w:t>43.984.983,71</w:t>
      </w:r>
      <w:r w:rsidR="00014D40" w:rsidRPr="00C46843">
        <w:rPr>
          <w:rFonts w:ascii="Times New Roman" w:eastAsia="Times New Roman" w:hAnsi="Times New Roman" w:cs="Times New Roman"/>
          <w:iCs/>
          <w:lang w:eastAsia="hr-HR"/>
        </w:rPr>
        <w:t xml:space="preserve"> kuna, odnosno</w:t>
      </w:r>
      <w:r w:rsidR="00DE4DA2" w:rsidRPr="00C46843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217A9C">
        <w:rPr>
          <w:rFonts w:ascii="Times New Roman" w:eastAsia="Times New Roman" w:hAnsi="Times New Roman" w:cs="Times New Roman"/>
          <w:iCs/>
          <w:lang w:eastAsia="hr-HR"/>
        </w:rPr>
        <w:t xml:space="preserve">80,11 </w:t>
      </w:r>
      <w:r w:rsidR="00986D8C" w:rsidRPr="00C46843">
        <w:rPr>
          <w:rFonts w:ascii="Times New Roman" w:eastAsia="Times New Roman" w:hAnsi="Times New Roman" w:cs="Times New Roman"/>
          <w:iCs/>
          <w:lang w:eastAsia="hr-HR"/>
        </w:rPr>
        <w:t>%.</w:t>
      </w:r>
      <w:r w:rsidR="002E611F" w:rsidRPr="002E611F">
        <w:rPr>
          <w:rFonts w:ascii="Times New Roman" w:eastAsia="Times New Roman" w:hAnsi="Times New Roman" w:cs="Times New Roman"/>
        </w:rPr>
        <w:t xml:space="preserve"> </w:t>
      </w:r>
    </w:p>
    <w:p w14:paraId="186FFB0F" w14:textId="7C51025D" w:rsidR="00986D8C" w:rsidRPr="002E611F" w:rsidRDefault="002E611F" w:rsidP="002E611F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U 2019. godini jedino</w:t>
      </w:r>
      <w:r w:rsidR="007B323B">
        <w:rPr>
          <w:rFonts w:ascii="Times New Roman" w:eastAsia="Times New Roman" w:hAnsi="Times New Roman" w:cs="Times New Roman"/>
        </w:rPr>
        <w:t xml:space="preserve"> su</w:t>
      </w:r>
      <w:r>
        <w:rPr>
          <w:rFonts w:ascii="Times New Roman" w:eastAsia="Times New Roman" w:hAnsi="Times New Roman" w:cs="Times New Roman"/>
        </w:rPr>
        <w:t xml:space="preserve"> sredstva</w:t>
      </w:r>
      <w:r w:rsidR="007B323B" w:rsidRPr="007B323B">
        <w:rPr>
          <w:rFonts w:ascii="Times New Roman" w:eastAsia="Times New Roman" w:hAnsi="Times New Roman" w:cs="Times New Roman"/>
        </w:rPr>
        <w:t xml:space="preserve"> </w:t>
      </w:r>
      <w:r w:rsidR="007B323B">
        <w:rPr>
          <w:rFonts w:ascii="Times New Roman" w:eastAsia="Times New Roman" w:hAnsi="Times New Roman" w:cs="Times New Roman"/>
        </w:rPr>
        <w:t xml:space="preserve">za početak izgradnje Mrtvačnice </w:t>
      </w:r>
      <w:proofErr w:type="spellStart"/>
      <w:r w:rsidR="007B323B">
        <w:rPr>
          <w:rFonts w:ascii="Times New Roman" w:eastAsia="Times New Roman" w:hAnsi="Times New Roman" w:cs="Times New Roman"/>
        </w:rPr>
        <w:t>Tušilović</w:t>
      </w:r>
      <w:proofErr w:type="spellEnd"/>
      <w:r w:rsidR="007B323B"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koja su i bila planirana u tek inicijalnom iznosu</w:t>
      </w:r>
      <w:r w:rsidR="007B323B">
        <w:rPr>
          <w:rFonts w:ascii="Times New Roman" w:eastAsia="Times New Roman" w:hAnsi="Times New Roman" w:cs="Times New Roman"/>
        </w:rPr>
        <w:t xml:space="preserve"> - </w:t>
      </w:r>
      <w:r>
        <w:rPr>
          <w:rFonts w:ascii="Times New Roman" w:eastAsia="Times New Roman" w:hAnsi="Times New Roman" w:cs="Times New Roman"/>
        </w:rPr>
        <w:t xml:space="preserve">50.000,00 kuna) ostala u cijelosti nerealizirana, budući da je </w:t>
      </w:r>
      <w:r w:rsidRPr="00824F25">
        <w:rPr>
          <w:rFonts w:ascii="Times New Roman" w:hAnsi="Times New Roman" w:cs="Times New Roman"/>
        </w:rPr>
        <w:t>postup</w:t>
      </w:r>
      <w:r w:rsidR="00E7474F">
        <w:rPr>
          <w:rFonts w:ascii="Times New Roman" w:hAnsi="Times New Roman" w:cs="Times New Roman"/>
        </w:rPr>
        <w:t>a</w:t>
      </w:r>
      <w:r w:rsidRPr="00824F25">
        <w:rPr>
          <w:rFonts w:ascii="Times New Roman" w:hAnsi="Times New Roman" w:cs="Times New Roman"/>
        </w:rPr>
        <w:t>k javne nabave za odabir izvođača radova pokrenut</w:t>
      </w:r>
      <w:r>
        <w:rPr>
          <w:rFonts w:ascii="Times New Roman" w:hAnsi="Times New Roman" w:cs="Times New Roman"/>
        </w:rPr>
        <w:t xml:space="preserve"> početkom</w:t>
      </w:r>
      <w:r w:rsidRPr="00824F25">
        <w:rPr>
          <w:rFonts w:ascii="Times New Roman" w:hAnsi="Times New Roman" w:cs="Times New Roman"/>
        </w:rPr>
        <w:t xml:space="preserve"> 2020. godine</w:t>
      </w:r>
      <w:r>
        <w:rPr>
          <w:rFonts w:ascii="Times New Roman" w:hAnsi="Times New Roman" w:cs="Times New Roman"/>
        </w:rPr>
        <w:t>.</w:t>
      </w:r>
      <w:r w:rsidRPr="00824F25">
        <w:rPr>
          <w:rFonts w:ascii="Times New Roman" w:hAnsi="Times New Roman" w:cs="Times New Roman"/>
        </w:rPr>
        <w:t xml:space="preserve"> </w:t>
      </w:r>
      <w:r w:rsidR="007B323B">
        <w:rPr>
          <w:rFonts w:ascii="Times New Roman" w:hAnsi="Times New Roman" w:cs="Times New Roman"/>
        </w:rPr>
        <w:t xml:space="preserve">Do realizacije od tek 26,40% unutar projekta „Izgradnja Dječjeg vrtića </w:t>
      </w:r>
      <w:proofErr w:type="spellStart"/>
      <w:r w:rsidR="007B323B">
        <w:rPr>
          <w:rFonts w:ascii="Times New Roman" w:hAnsi="Times New Roman" w:cs="Times New Roman"/>
        </w:rPr>
        <w:t>Mahično</w:t>
      </w:r>
      <w:proofErr w:type="spellEnd"/>
      <w:r w:rsidR="007B323B">
        <w:rPr>
          <w:rFonts w:ascii="Times New Roman" w:hAnsi="Times New Roman" w:cs="Times New Roman"/>
        </w:rPr>
        <w:t>“ došlo je zbog obveze da se u trenutku provedbe postupka nabave tj. zaključenja ugovora planira</w:t>
      </w:r>
      <w:r w:rsidR="001D3D27">
        <w:rPr>
          <w:rFonts w:ascii="Times New Roman" w:hAnsi="Times New Roman" w:cs="Times New Roman"/>
        </w:rPr>
        <w:t>ju</w:t>
      </w:r>
      <w:r w:rsidR="007B323B">
        <w:rPr>
          <w:rFonts w:ascii="Times New Roman" w:hAnsi="Times New Roman" w:cs="Times New Roman"/>
        </w:rPr>
        <w:t xml:space="preserve"> potrebna financijska sredstva, a plaćanje se vrši sukladno dinamici izvođenja radova koji se u ovom projektu </w:t>
      </w:r>
      <w:r w:rsidR="001D3D27">
        <w:rPr>
          <w:rFonts w:ascii="Times New Roman" w:hAnsi="Times New Roman" w:cs="Times New Roman"/>
        </w:rPr>
        <w:t xml:space="preserve">najvećim djelom </w:t>
      </w:r>
      <w:r w:rsidR="007B323B">
        <w:rPr>
          <w:rFonts w:ascii="Times New Roman" w:hAnsi="Times New Roman" w:cs="Times New Roman"/>
        </w:rPr>
        <w:t xml:space="preserve">izvode u prvoj polovici 2020. godine. </w:t>
      </w:r>
      <w:r w:rsidR="0010362B">
        <w:rPr>
          <w:rFonts w:ascii="Times New Roman" w:eastAsia="Times New Roman" w:hAnsi="Times New Roman" w:cs="Times New Roman"/>
          <w:iCs/>
          <w:lang w:eastAsia="hr-HR"/>
        </w:rPr>
        <w:t xml:space="preserve">Razlog nešto manjeg postotka realizacije unutar projekta „Izgradnja pristupne prometnice CGO Babina gora“ (56,91%) </w:t>
      </w:r>
      <w:r w:rsidR="00075BF2">
        <w:rPr>
          <w:rFonts w:ascii="Times New Roman" w:eastAsia="Times New Roman" w:hAnsi="Times New Roman" w:cs="Times New Roman"/>
          <w:iCs/>
          <w:lang w:eastAsia="hr-HR"/>
        </w:rPr>
        <w:t>su</w:t>
      </w:r>
      <w:r w:rsidR="0010362B">
        <w:rPr>
          <w:rFonts w:ascii="Times New Roman" w:eastAsia="Times New Roman" w:hAnsi="Times New Roman" w:cs="Times New Roman"/>
          <w:iCs/>
          <w:lang w:eastAsia="hr-HR"/>
        </w:rPr>
        <w:t xml:space="preserve"> prvenstveno </w:t>
      </w:r>
      <w:r w:rsidR="00075BF2">
        <w:rPr>
          <w:rFonts w:ascii="Times New Roman" w:eastAsia="Times New Roman" w:hAnsi="Times New Roman" w:cs="Times New Roman"/>
          <w:iCs/>
          <w:lang w:eastAsia="hr-HR"/>
        </w:rPr>
        <w:t>vremenski uvjeti</w:t>
      </w:r>
      <w:r w:rsidR="00E7474F">
        <w:rPr>
          <w:rFonts w:ascii="Times New Roman" w:eastAsia="Times New Roman" w:hAnsi="Times New Roman" w:cs="Times New Roman"/>
          <w:iCs/>
          <w:lang w:eastAsia="hr-HR"/>
        </w:rPr>
        <w:t xml:space="preserve">. </w:t>
      </w:r>
      <w:r w:rsidR="00075BF2">
        <w:rPr>
          <w:rFonts w:ascii="Times New Roman" w:eastAsia="Times New Roman" w:hAnsi="Times New Roman" w:cs="Times New Roman"/>
          <w:iCs/>
          <w:lang w:eastAsia="hr-HR"/>
        </w:rPr>
        <w:t>P</w:t>
      </w:r>
      <w:r w:rsidR="0010362B">
        <w:rPr>
          <w:rFonts w:ascii="Times New Roman" w:eastAsia="Times New Roman" w:hAnsi="Times New Roman" w:cs="Times New Roman"/>
          <w:iCs/>
          <w:lang w:eastAsia="hr-HR"/>
        </w:rPr>
        <w:t>rojekt „Susret s rijekom“ – šetnica ostvaren</w:t>
      </w:r>
      <w:r w:rsidR="00075BF2">
        <w:rPr>
          <w:rFonts w:ascii="Times New Roman" w:eastAsia="Times New Roman" w:hAnsi="Times New Roman" w:cs="Times New Roman"/>
          <w:iCs/>
          <w:lang w:eastAsia="hr-HR"/>
        </w:rPr>
        <w:t xml:space="preserve"> je u</w:t>
      </w:r>
      <w:r w:rsidR="0010362B">
        <w:rPr>
          <w:rFonts w:ascii="Times New Roman" w:eastAsia="Times New Roman" w:hAnsi="Times New Roman" w:cs="Times New Roman"/>
          <w:iCs/>
          <w:lang w:eastAsia="hr-HR"/>
        </w:rPr>
        <w:t xml:space="preserve"> 62,44% </w:t>
      </w:r>
      <w:r w:rsidR="00075BF2">
        <w:rPr>
          <w:rFonts w:ascii="Times New Roman" w:eastAsia="Times New Roman" w:hAnsi="Times New Roman" w:cs="Times New Roman"/>
          <w:iCs/>
          <w:lang w:eastAsia="hr-HR"/>
        </w:rPr>
        <w:t>u odnosu na planirana sredstva, budući da su u 2019. godini planirani</w:t>
      </w:r>
      <w:r w:rsidR="0010362B">
        <w:rPr>
          <w:rFonts w:ascii="Times New Roman" w:eastAsia="Times New Roman" w:hAnsi="Times New Roman" w:cs="Times New Roman"/>
          <w:iCs/>
          <w:lang w:eastAsia="hr-HR"/>
        </w:rPr>
        <w:t xml:space="preserve"> građevinski radov</w:t>
      </w:r>
      <w:r w:rsidR="00E7474F">
        <w:rPr>
          <w:rFonts w:ascii="Times New Roman" w:eastAsia="Times New Roman" w:hAnsi="Times New Roman" w:cs="Times New Roman"/>
          <w:iCs/>
          <w:lang w:eastAsia="hr-HR"/>
        </w:rPr>
        <w:t>i</w:t>
      </w:r>
      <w:r w:rsidR="0010362B">
        <w:rPr>
          <w:rFonts w:ascii="Times New Roman" w:eastAsia="Times New Roman" w:hAnsi="Times New Roman" w:cs="Times New Roman"/>
          <w:iCs/>
          <w:lang w:eastAsia="hr-HR"/>
        </w:rPr>
        <w:t xml:space="preserve"> gotovo u cijelosti dovršen, ali će se nabava multimedijske opreme realizirati u 2020. godini.</w:t>
      </w:r>
    </w:p>
    <w:p w14:paraId="49C934FE" w14:textId="5367C1E0" w:rsidR="00EC1560" w:rsidRPr="00C46843" w:rsidRDefault="00986D8C" w:rsidP="00EC156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46843">
        <w:rPr>
          <w:rFonts w:ascii="Times New Roman" w:eastAsia="Times New Roman" w:hAnsi="Times New Roman" w:cs="Times New Roman"/>
          <w:iCs/>
          <w:lang w:eastAsia="hr-HR"/>
        </w:rPr>
        <w:t xml:space="preserve">         Za realizaciju </w:t>
      </w:r>
      <w:r w:rsidR="006933F4">
        <w:rPr>
          <w:rFonts w:ascii="Times New Roman" w:eastAsia="Times New Roman" w:hAnsi="Times New Roman" w:cs="Times New Roman"/>
          <w:iCs/>
          <w:lang w:eastAsia="hr-HR"/>
        </w:rPr>
        <w:t xml:space="preserve">svih projekata unutar </w:t>
      </w:r>
      <w:r w:rsidRPr="00C46843">
        <w:rPr>
          <w:rFonts w:ascii="Times New Roman" w:eastAsia="Times New Roman" w:hAnsi="Times New Roman" w:cs="Times New Roman"/>
          <w:iCs/>
          <w:lang w:eastAsia="hr-HR"/>
        </w:rPr>
        <w:t xml:space="preserve">ovog </w:t>
      </w:r>
      <w:r w:rsidRPr="00C46843">
        <w:rPr>
          <w:rFonts w:ascii="Times New Roman" w:eastAsia="Times New Roman" w:hAnsi="Times New Roman" w:cs="Times New Roman"/>
          <w:lang w:val="pl-PL"/>
        </w:rPr>
        <w:t>Programa bio je zadužen Upravni odjel za prostorno uređenje, gradnju i zaštitu okoliša</w:t>
      </w:r>
      <w:r w:rsidR="00DE4DA2" w:rsidRPr="00C46843">
        <w:rPr>
          <w:rFonts w:ascii="Times New Roman" w:eastAsia="Times New Roman" w:hAnsi="Times New Roman" w:cs="Times New Roman"/>
          <w:lang w:val="pl-PL"/>
        </w:rPr>
        <w:t>,</w:t>
      </w:r>
      <w:r w:rsidRPr="00C46843">
        <w:rPr>
          <w:rFonts w:ascii="Times New Roman" w:eastAsia="Times New Roman" w:hAnsi="Times New Roman" w:cs="Times New Roman"/>
          <w:lang w:val="pl-PL"/>
        </w:rPr>
        <w:t xml:space="preserve"> </w:t>
      </w:r>
      <w:r w:rsidR="006933F4">
        <w:rPr>
          <w:rFonts w:ascii="Times New Roman" w:eastAsia="Times New Roman" w:hAnsi="Times New Roman" w:cs="Times New Roman"/>
          <w:lang w:val="pl-PL"/>
        </w:rPr>
        <w:t xml:space="preserve">osim za </w:t>
      </w:r>
      <w:r w:rsidRPr="00C46843">
        <w:rPr>
          <w:rFonts w:ascii="Times New Roman" w:eastAsia="Times New Roman" w:hAnsi="Times New Roman" w:cs="Times New Roman"/>
          <w:lang w:val="pl-PL"/>
        </w:rPr>
        <w:t>projekt</w:t>
      </w:r>
      <w:r w:rsidR="006933F4">
        <w:rPr>
          <w:rFonts w:ascii="Times New Roman" w:eastAsia="Times New Roman" w:hAnsi="Times New Roman" w:cs="Times New Roman"/>
          <w:lang w:val="pl-PL"/>
        </w:rPr>
        <w:t>e</w:t>
      </w:r>
      <w:r w:rsidRPr="00C46843">
        <w:rPr>
          <w:rFonts w:ascii="Times New Roman" w:eastAsia="Times New Roman" w:hAnsi="Times New Roman" w:cs="Times New Roman"/>
        </w:rPr>
        <w:t xml:space="preserve"> </w:t>
      </w:r>
      <w:r w:rsidR="00101832" w:rsidRPr="00C46843">
        <w:rPr>
          <w:rFonts w:ascii="Times New Roman" w:eastAsia="Times New Roman" w:hAnsi="Times New Roman" w:cs="Times New Roman"/>
          <w:lang w:val="pl-PL"/>
        </w:rPr>
        <w:t>„Sportsk</w:t>
      </w:r>
      <w:r w:rsidR="00101832">
        <w:rPr>
          <w:rFonts w:ascii="Times New Roman" w:eastAsia="Times New Roman" w:hAnsi="Times New Roman" w:cs="Times New Roman"/>
          <w:lang w:val="pl-PL"/>
        </w:rPr>
        <w:t>a</w:t>
      </w:r>
      <w:r w:rsidR="00101832" w:rsidRPr="00C46843">
        <w:rPr>
          <w:rFonts w:ascii="Times New Roman" w:eastAsia="Times New Roman" w:hAnsi="Times New Roman" w:cs="Times New Roman"/>
          <w:lang w:val="pl-PL"/>
        </w:rPr>
        <w:t xml:space="preserve"> dvoran</w:t>
      </w:r>
      <w:r w:rsidR="00101832">
        <w:rPr>
          <w:rFonts w:ascii="Times New Roman" w:eastAsia="Times New Roman" w:hAnsi="Times New Roman" w:cs="Times New Roman"/>
          <w:lang w:val="pl-PL"/>
        </w:rPr>
        <w:t>a</w:t>
      </w:r>
      <w:r w:rsidR="00101832" w:rsidRPr="00C46843">
        <w:rPr>
          <w:rFonts w:ascii="Times New Roman" w:eastAsia="Times New Roman" w:hAnsi="Times New Roman" w:cs="Times New Roman"/>
          <w:lang w:val="pl-PL"/>
        </w:rPr>
        <w:t xml:space="preserve"> OŠ Mahično”</w:t>
      </w:r>
      <w:r w:rsidR="00101832">
        <w:rPr>
          <w:rFonts w:ascii="Times New Roman" w:eastAsia="Times New Roman" w:hAnsi="Times New Roman" w:cs="Times New Roman"/>
          <w:lang w:val="pl-PL"/>
        </w:rPr>
        <w:t xml:space="preserve"> i „</w:t>
      </w:r>
      <w:r w:rsidR="00101832" w:rsidRPr="00C46843">
        <w:rPr>
          <w:rFonts w:ascii="Times New Roman" w:eastAsia="Times New Roman" w:hAnsi="Times New Roman" w:cs="Times New Roman"/>
          <w:lang w:val="pl-PL"/>
        </w:rPr>
        <w:t>Izgradnj</w:t>
      </w:r>
      <w:r w:rsidR="00101832">
        <w:rPr>
          <w:rFonts w:ascii="Times New Roman" w:eastAsia="Times New Roman" w:hAnsi="Times New Roman" w:cs="Times New Roman"/>
          <w:lang w:val="pl-PL"/>
        </w:rPr>
        <w:t>a</w:t>
      </w:r>
      <w:r w:rsidR="00101832" w:rsidRPr="00C46843">
        <w:rPr>
          <w:rFonts w:ascii="Times New Roman" w:eastAsia="Times New Roman" w:hAnsi="Times New Roman" w:cs="Times New Roman"/>
          <w:lang w:val="pl-PL"/>
        </w:rPr>
        <w:t xml:space="preserve"> </w:t>
      </w:r>
      <w:r w:rsidR="00101832">
        <w:rPr>
          <w:rFonts w:ascii="Times New Roman" w:eastAsia="Times New Roman" w:hAnsi="Times New Roman" w:cs="Times New Roman"/>
          <w:lang w:val="pl-PL"/>
        </w:rPr>
        <w:t>D</w:t>
      </w:r>
      <w:r w:rsidR="00101832" w:rsidRPr="00C46843">
        <w:rPr>
          <w:rFonts w:ascii="Times New Roman" w:eastAsia="Times New Roman" w:hAnsi="Times New Roman" w:cs="Times New Roman"/>
          <w:lang w:val="pl-PL"/>
        </w:rPr>
        <w:t>ječjeg vrtića Mahično”</w:t>
      </w:r>
      <w:r w:rsidR="00101832">
        <w:rPr>
          <w:rFonts w:ascii="Times New Roman" w:eastAsia="Times New Roman" w:hAnsi="Times New Roman" w:cs="Times New Roman"/>
          <w:lang w:val="pl-PL"/>
        </w:rPr>
        <w:t xml:space="preserve"> </w:t>
      </w:r>
      <w:r w:rsidR="006933F4">
        <w:rPr>
          <w:rFonts w:ascii="Times New Roman" w:eastAsia="Times New Roman" w:hAnsi="Times New Roman" w:cs="Times New Roman"/>
          <w:lang w:val="pl-PL"/>
        </w:rPr>
        <w:t xml:space="preserve">koji su se </w:t>
      </w:r>
      <w:r w:rsidR="00101832">
        <w:rPr>
          <w:rFonts w:ascii="Times New Roman" w:eastAsia="Times New Roman" w:hAnsi="Times New Roman" w:cs="Times New Roman"/>
          <w:lang w:val="pl-PL"/>
        </w:rPr>
        <w:t xml:space="preserve">realizirali unutar </w:t>
      </w:r>
      <w:r w:rsidR="00EC1560" w:rsidRPr="00C46843">
        <w:rPr>
          <w:rFonts w:ascii="Times New Roman" w:eastAsia="Times New Roman" w:hAnsi="Times New Roman" w:cs="Times New Roman"/>
          <w:lang w:val="pl-PL"/>
        </w:rPr>
        <w:t>Upravn</w:t>
      </w:r>
      <w:r w:rsidR="00101832">
        <w:rPr>
          <w:rFonts w:ascii="Times New Roman" w:eastAsia="Times New Roman" w:hAnsi="Times New Roman" w:cs="Times New Roman"/>
          <w:lang w:val="pl-PL"/>
        </w:rPr>
        <w:t>og</w:t>
      </w:r>
      <w:r w:rsidR="00EC1560" w:rsidRPr="00C46843">
        <w:rPr>
          <w:rFonts w:ascii="Times New Roman" w:eastAsia="Times New Roman" w:hAnsi="Times New Roman" w:cs="Times New Roman"/>
          <w:lang w:val="pl-PL"/>
        </w:rPr>
        <w:t xml:space="preserve"> o</w:t>
      </w:r>
      <w:r w:rsidR="008C2950" w:rsidRPr="00C46843">
        <w:rPr>
          <w:rFonts w:ascii="Times New Roman" w:eastAsia="Times New Roman" w:hAnsi="Times New Roman" w:cs="Times New Roman"/>
          <w:lang w:val="pl-PL"/>
        </w:rPr>
        <w:t>djel</w:t>
      </w:r>
      <w:r w:rsidR="00101832">
        <w:rPr>
          <w:rFonts w:ascii="Times New Roman" w:eastAsia="Times New Roman" w:hAnsi="Times New Roman" w:cs="Times New Roman"/>
          <w:lang w:val="pl-PL"/>
        </w:rPr>
        <w:t>a</w:t>
      </w:r>
      <w:r w:rsidR="008C2950" w:rsidRPr="00C46843">
        <w:rPr>
          <w:rFonts w:ascii="Times New Roman" w:eastAsia="Times New Roman" w:hAnsi="Times New Roman" w:cs="Times New Roman"/>
          <w:lang w:val="pl-PL"/>
        </w:rPr>
        <w:t xml:space="preserve"> za društvene djelatnosti</w:t>
      </w:r>
      <w:r w:rsidR="006933F4">
        <w:rPr>
          <w:rFonts w:ascii="Times New Roman" w:eastAsia="Times New Roman" w:hAnsi="Times New Roman" w:cs="Times New Roman"/>
          <w:lang w:val="pl-PL"/>
        </w:rPr>
        <w:t xml:space="preserve"> te za</w:t>
      </w:r>
      <w:r w:rsidR="00EC1560" w:rsidRPr="00C46843">
        <w:rPr>
          <w:rFonts w:ascii="Times New Roman" w:eastAsia="Times New Roman" w:hAnsi="Times New Roman" w:cs="Times New Roman"/>
        </w:rPr>
        <w:t xml:space="preserve"> projekt „Radićeva ulica – rekonstrukcija i uređenje“ </w:t>
      </w:r>
      <w:r w:rsidR="006933F4">
        <w:rPr>
          <w:rFonts w:ascii="Times New Roman" w:eastAsia="Times New Roman" w:hAnsi="Times New Roman" w:cs="Times New Roman"/>
        </w:rPr>
        <w:t xml:space="preserve">za koji je </w:t>
      </w:r>
      <w:r w:rsidR="00EC1560" w:rsidRPr="00C46843">
        <w:rPr>
          <w:rFonts w:ascii="Times New Roman" w:eastAsia="Times New Roman" w:hAnsi="Times New Roman" w:cs="Times New Roman"/>
        </w:rPr>
        <w:t>bio</w:t>
      </w:r>
      <w:r w:rsidR="00EC1560" w:rsidRPr="00C46843">
        <w:rPr>
          <w:rFonts w:ascii="Times New Roman" w:eastAsia="Times New Roman" w:hAnsi="Times New Roman" w:cs="Times New Roman"/>
          <w:b/>
        </w:rPr>
        <w:t xml:space="preserve"> </w:t>
      </w:r>
      <w:r w:rsidR="00EC1560" w:rsidRPr="00C46843">
        <w:rPr>
          <w:rFonts w:ascii="Times New Roman" w:eastAsia="Times New Roman" w:hAnsi="Times New Roman" w:cs="Times New Roman"/>
        </w:rPr>
        <w:t>zadužen Gradski muzej Karlovac</w:t>
      </w:r>
      <w:r w:rsidR="00101832">
        <w:rPr>
          <w:rFonts w:ascii="Times New Roman" w:eastAsia="Times New Roman" w:hAnsi="Times New Roman" w:cs="Times New Roman"/>
        </w:rPr>
        <w:t>.</w:t>
      </w:r>
    </w:p>
    <w:p w14:paraId="4C06ED44" w14:textId="11308239" w:rsidR="00986D8C" w:rsidRPr="00C46843" w:rsidRDefault="00986D8C" w:rsidP="00986D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 xml:space="preserve">       </w:t>
      </w:r>
      <w:r w:rsidR="009526AE" w:rsidRPr="00C46843">
        <w:rPr>
          <w:rFonts w:ascii="Times New Roman" w:eastAsia="Times New Roman" w:hAnsi="Times New Roman" w:cs="Times New Roman"/>
          <w:iCs/>
          <w:lang w:eastAsia="hr-HR"/>
        </w:rPr>
        <w:t xml:space="preserve">  </w:t>
      </w:r>
      <w:r w:rsidRPr="00C46843">
        <w:rPr>
          <w:rFonts w:ascii="Times New Roman" w:eastAsia="Times New Roman" w:hAnsi="Times New Roman" w:cs="Times New Roman"/>
          <w:iCs/>
          <w:lang w:eastAsia="hr-HR"/>
        </w:rPr>
        <w:t>Molimo Gradsko vijeće</w:t>
      </w:r>
      <w:r w:rsidR="00014D40" w:rsidRPr="00C46843">
        <w:rPr>
          <w:rFonts w:ascii="Times New Roman" w:eastAsia="Times New Roman" w:hAnsi="Times New Roman" w:cs="Times New Roman"/>
          <w:iCs/>
          <w:lang w:eastAsia="hr-HR"/>
        </w:rPr>
        <w:t xml:space="preserve"> Grada Karlovca</w:t>
      </w:r>
      <w:r w:rsidRPr="00C46843">
        <w:rPr>
          <w:rFonts w:ascii="Times New Roman" w:eastAsia="Times New Roman" w:hAnsi="Times New Roman" w:cs="Times New Roman"/>
          <w:iCs/>
          <w:lang w:eastAsia="hr-HR"/>
        </w:rPr>
        <w:t xml:space="preserve"> razmatranje te prihvaćanje predloženog Izvješća o izvršenju Programa  </w:t>
      </w:r>
      <w:r w:rsidRPr="00C46843">
        <w:rPr>
          <w:rFonts w:ascii="Times New Roman" w:eastAsia="Times New Roman" w:hAnsi="Times New Roman" w:cs="Times New Roman"/>
          <w:lang w:eastAsia="hr-HR"/>
        </w:rPr>
        <w:t xml:space="preserve">gradnje objekata i uređaja komunalne i druge infrastrukture </w:t>
      </w:r>
      <w:r w:rsidR="009526AE" w:rsidRPr="00C46843">
        <w:rPr>
          <w:rFonts w:ascii="Times New Roman" w:eastAsia="Times New Roman" w:hAnsi="Times New Roman" w:cs="Times New Roman"/>
          <w:iCs/>
          <w:lang w:eastAsia="hr-HR"/>
        </w:rPr>
        <w:t>u 201</w:t>
      </w:r>
      <w:r w:rsidR="00B66827">
        <w:rPr>
          <w:rFonts w:ascii="Times New Roman" w:eastAsia="Times New Roman" w:hAnsi="Times New Roman" w:cs="Times New Roman"/>
          <w:iCs/>
          <w:lang w:eastAsia="hr-HR"/>
        </w:rPr>
        <w:t>9</w:t>
      </w:r>
      <w:r w:rsidRPr="00C46843">
        <w:rPr>
          <w:rFonts w:ascii="Times New Roman" w:eastAsia="Times New Roman" w:hAnsi="Times New Roman" w:cs="Times New Roman"/>
          <w:iCs/>
          <w:lang w:eastAsia="hr-HR"/>
        </w:rPr>
        <w:t>. godini, kako je prethodno i obrazloženo.</w:t>
      </w:r>
    </w:p>
    <w:p w14:paraId="40C91D40" w14:textId="77777777" w:rsidR="00986D8C" w:rsidRPr="00C46843" w:rsidRDefault="00986D8C" w:rsidP="00986D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</w:p>
    <w:p w14:paraId="7E73E807" w14:textId="2220FF22" w:rsidR="00986D8C" w:rsidRPr="00C46843" w:rsidRDefault="00DE4DA2" w:rsidP="00986D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C46843">
        <w:rPr>
          <w:rFonts w:ascii="Times New Roman" w:eastAsia="Times New Roman" w:hAnsi="Times New Roman" w:cs="Times New Roman"/>
          <w:iCs/>
          <w:lang w:eastAsia="hr-HR"/>
        </w:rPr>
        <w:t xml:space="preserve">U Karlovcu, </w:t>
      </w:r>
      <w:r w:rsidR="00F36FAA">
        <w:rPr>
          <w:rFonts w:ascii="Times New Roman" w:eastAsia="Times New Roman" w:hAnsi="Times New Roman" w:cs="Times New Roman"/>
          <w:iCs/>
          <w:lang w:eastAsia="hr-HR"/>
        </w:rPr>
        <w:t>5. ožujka</w:t>
      </w:r>
      <w:r w:rsidR="00791B04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9526AE" w:rsidRPr="00C46843">
        <w:rPr>
          <w:rFonts w:ascii="Times New Roman" w:eastAsia="Times New Roman" w:hAnsi="Times New Roman" w:cs="Times New Roman"/>
          <w:iCs/>
          <w:lang w:eastAsia="hr-HR"/>
        </w:rPr>
        <w:t>20</w:t>
      </w:r>
      <w:r w:rsidR="00B66827">
        <w:rPr>
          <w:rFonts w:ascii="Times New Roman" w:eastAsia="Times New Roman" w:hAnsi="Times New Roman" w:cs="Times New Roman"/>
          <w:iCs/>
          <w:lang w:eastAsia="hr-HR"/>
        </w:rPr>
        <w:t>20</w:t>
      </w:r>
      <w:r w:rsidR="00986D8C" w:rsidRPr="00C46843">
        <w:rPr>
          <w:rFonts w:ascii="Times New Roman" w:eastAsia="Times New Roman" w:hAnsi="Times New Roman" w:cs="Times New Roman"/>
          <w:iCs/>
          <w:lang w:eastAsia="hr-HR"/>
        </w:rPr>
        <w:t>. godine</w:t>
      </w:r>
    </w:p>
    <w:p w14:paraId="7866345B" w14:textId="77777777" w:rsidR="00986D8C" w:rsidRPr="00C46843" w:rsidRDefault="00986D8C" w:rsidP="00986D8C">
      <w:pPr>
        <w:spacing w:after="0" w:line="240" w:lineRule="auto"/>
        <w:rPr>
          <w:rFonts w:ascii="Times New Roman" w:eastAsia="Times New Roman" w:hAnsi="Times New Roman" w:cs="Times New Roman"/>
          <w:iCs/>
          <w:lang w:eastAsia="hr-HR"/>
        </w:rPr>
      </w:pPr>
      <w:r w:rsidRPr="00C46843">
        <w:rPr>
          <w:rFonts w:ascii="Times New Roman" w:eastAsia="Times New Roman" w:hAnsi="Times New Roman" w:cs="Times New Roman"/>
          <w:iCs/>
          <w:lang w:eastAsia="hr-HR"/>
        </w:rPr>
        <w:tab/>
      </w:r>
    </w:p>
    <w:p w14:paraId="2DDE6670" w14:textId="4EEC59BD" w:rsidR="00986D8C" w:rsidRPr="00C46843" w:rsidRDefault="00014D40" w:rsidP="00986D8C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C46843">
        <w:rPr>
          <w:rFonts w:ascii="Times New Roman" w:eastAsia="Times New Roman" w:hAnsi="Times New Roman" w:cs="Times New Roman"/>
          <w:lang w:eastAsia="hr-HR"/>
        </w:rPr>
        <w:tab/>
      </w:r>
      <w:r w:rsidRPr="00C46843">
        <w:rPr>
          <w:rFonts w:ascii="Times New Roman" w:eastAsia="Times New Roman" w:hAnsi="Times New Roman" w:cs="Times New Roman"/>
          <w:lang w:eastAsia="hr-HR"/>
        </w:rPr>
        <w:tab/>
      </w:r>
      <w:r w:rsidRPr="00C46843">
        <w:rPr>
          <w:rFonts w:ascii="Times New Roman" w:eastAsia="Times New Roman" w:hAnsi="Times New Roman" w:cs="Times New Roman"/>
          <w:lang w:eastAsia="hr-HR"/>
        </w:rPr>
        <w:tab/>
      </w:r>
      <w:r w:rsidRPr="00C46843">
        <w:rPr>
          <w:rFonts w:ascii="Times New Roman" w:eastAsia="Times New Roman" w:hAnsi="Times New Roman" w:cs="Times New Roman"/>
          <w:lang w:eastAsia="hr-HR"/>
        </w:rPr>
        <w:tab/>
      </w:r>
      <w:r w:rsidRPr="00C46843">
        <w:rPr>
          <w:rFonts w:ascii="Times New Roman" w:eastAsia="Times New Roman" w:hAnsi="Times New Roman" w:cs="Times New Roman"/>
          <w:lang w:eastAsia="hr-HR"/>
        </w:rPr>
        <w:tab/>
      </w:r>
      <w:r w:rsidRPr="00C46843">
        <w:rPr>
          <w:rFonts w:ascii="Times New Roman" w:eastAsia="Times New Roman" w:hAnsi="Times New Roman" w:cs="Times New Roman"/>
          <w:lang w:eastAsia="hr-HR"/>
        </w:rPr>
        <w:tab/>
      </w:r>
      <w:r w:rsidRPr="00C46843">
        <w:rPr>
          <w:rFonts w:ascii="Times New Roman" w:eastAsia="Times New Roman" w:hAnsi="Times New Roman" w:cs="Times New Roman"/>
          <w:lang w:eastAsia="hr-HR"/>
        </w:rPr>
        <w:tab/>
        <w:t xml:space="preserve">  </w:t>
      </w:r>
      <w:r w:rsidRPr="00C46843">
        <w:rPr>
          <w:rFonts w:ascii="Times New Roman" w:eastAsia="Times New Roman" w:hAnsi="Times New Roman" w:cs="Times New Roman"/>
          <w:b/>
          <w:lang w:eastAsia="hr-HR"/>
        </w:rPr>
        <w:t>Pročelnica Upravnog odjela za</w:t>
      </w:r>
    </w:p>
    <w:p w14:paraId="51753787" w14:textId="3E0132C1" w:rsidR="00014D40" w:rsidRPr="00C46843" w:rsidRDefault="00014D40" w:rsidP="00986D8C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prostorno uređenje, gradnju i zaštitu okoliša</w:t>
      </w:r>
    </w:p>
    <w:p w14:paraId="480CB40C" w14:textId="36AF708F" w:rsidR="00986D8C" w:rsidRPr="00C46843" w:rsidRDefault="00986D8C" w:rsidP="00986D8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</w:t>
      </w:r>
      <w:proofErr w:type="spellStart"/>
      <w:r w:rsidR="00B66827">
        <w:rPr>
          <w:rFonts w:ascii="Times New Roman" w:eastAsia="Times New Roman" w:hAnsi="Times New Roman" w:cs="Times New Roman"/>
          <w:b/>
          <w:lang w:eastAsia="hr-HR"/>
        </w:rPr>
        <w:t>dr.sc</w:t>
      </w:r>
      <w:proofErr w:type="spellEnd"/>
      <w:r w:rsidR="00B66827">
        <w:rPr>
          <w:rFonts w:ascii="Times New Roman" w:eastAsia="Times New Roman" w:hAnsi="Times New Roman" w:cs="Times New Roman"/>
          <w:b/>
          <w:lang w:eastAsia="hr-HR"/>
        </w:rPr>
        <w:t xml:space="preserve">. Ana Hranilović </w:t>
      </w:r>
      <w:proofErr w:type="spellStart"/>
      <w:r w:rsidR="00B66827">
        <w:rPr>
          <w:rFonts w:ascii="Times New Roman" w:eastAsia="Times New Roman" w:hAnsi="Times New Roman" w:cs="Times New Roman"/>
          <w:b/>
          <w:lang w:eastAsia="hr-HR"/>
        </w:rPr>
        <w:t>Trubić</w:t>
      </w:r>
      <w:proofErr w:type="spellEnd"/>
      <w:r w:rsidRPr="00C46843">
        <w:rPr>
          <w:rFonts w:ascii="Times New Roman" w:eastAsia="Times New Roman" w:hAnsi="Times New Roman" w:cs="Times New Roman"/>
          <w:b/>
          <w:lang w:eastAsia="hr-HR"/>
        </w:rPr>
        <w:t>, dipl.ing.građ.</w:t>
      </w:r>
    </w:p>
    <w:p w14:paraId="2A6416A3" w14:textId="77777777" w:rsidR="00986D8C" w:rsidRPr="00C46843" w:rsidRDefault="00986D8C" w:rsidP="00986D8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</w:p>
    <w:p w14:paraId="5CC542BB" w14:textId="77777777" w:rsidR="00986D8C" w:rsidRPr="00C46843" w:rsidRDefault="00986D8C" w:rsidP="00986D8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14:paraId="7046CE96" w14:textId="77777777" w:rsidR="00986D8C" w:rsidRPr="00C46843" w:rsidRDefault="00986D8C" w:rsidP="00986D8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14:paraId="67703CB0" w14:textId="77777777" w:rsidR="00986D8C" w:rsidRPr="00C46843" w:rsidRDefault="00986D8C" w:rsidP="00986D8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  <w:r w:rsidRPr="00C46843">
        <w:rPr>
          <w:rFonts w:ascii="Times New Roman" w:eastAsia="Times New Roman" w:hAnsi="Times New Roman" w:cs="Times New Roman"/>
          <w:b/>
          <w:lang w:eastAsia="hr-HR"/>
        </w:rPr>
        <w:t xml:space="preserve">U privitku: </w:t>
      </w:r>
    </w:p>
    <w:p w14:paraId="57D510DD" w14:textId="37B7F549" w:rsidR="00986D8C" w:rsidRDefault="00986D8C" w:rsidP="00986D8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C46843">
        <w:rPr>
          <w:rFonts w:ascii="Times New Roman" w:eastAsia="Times New Roman" w:hAnsi="Times New Roman" w:cs="Times New Roman"/>
          <w:lang w:eastAsia="hr-HR"/>
        </w:rPr>
        <w:t>Izvješće o izvršenju Programa gradnje objekata i uređaja komunal</w:t>
      </w:r>
      <w:r w:rsidR="00936E95" w:rsidRPr="00C46843">
        <w:rPr>
          <w:rFonts w:ascii="Times New Roman" w:eastAsia="Times New Roman" w:hAnsi="Times New Roman" w:cs="Times New Roman"/>
          <w:lang w:eastAsia="hr-HR"/>
        </w:rPr>
        <w:t>ne i druge infrastrukture u 201</w:t>
      </w:r>
      <w:r w:rsidR="00B66827">
        <w:rPr>
          <w:rFonts w:ascii="Times New Roman" w:eastAsia="Times New Roman" w:hAnsi="Times New Roman" w:cs="Times New Roman"/>
          <w:lang w:eastAsia="hr-HR"/>
        </w:rPr>
        <w:t>9</w:t>
      </w:r>
      <w:r w:rsidRPr="00C46843">
        <w:rPr>
          <w:rFonts w:ascii="Times New Roman" w:eastAsia="Times New Roman" w:hAnsi="Times New Roman" w:cs="Times New Roman"/>
          <w:lang w:eastAsia="hr-HR"/>
        </w:rPr>
        <w:t xml:space="preserve">. </w:t>
      </w:r>
      <w:r w:rsidR="00A71D79" w:rsidRPr="00C46843">
        <w:rPr>
          <w:rFonts w:ascii="Times New Roman" w:eastAsia="Times New Roman" w:hAnsi="Times New Roman" w:cs="Times New Roman"/>
          <w:lang w:eastAsia="hr-HR"/>
        </w:rPr>
        <w:t>G</w:t>
      </w:r>
      <w:r w:rsidRPr="00C46843">
        <w:rPr>
          <w:rFonts w:ascii="Times New Roman" w:eastAsia="Times New Roman" w:hAnsi="Times New Roman" w:cs="Times New Roman"/>
          <w:lang w:eastAsia="hr-HR"/>
        </w:rPr>
        <w:t>odini</w:t>
      </w:r>
    </w:p>
    <w:p w14:paraId="3B732BB0" w14:textId="77777777" w:rsidR="00A71D79" w:rsidRDefault="00A71D79" w:rsidP="00A71D79">
      <w:pPr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A71D79" w14:paraId="6670A348" w14:textId="77777777" w:rsidTr="00A71D79">
        <w:tc>
          <w:tcPr>
            <w:tcW w:w="3082" w:type="dxa"/>
            <w:gridSpan w:val="2"/>
            <w:vAlign w:val="center"/>
            <w:hideMark/>
          </w:tcPr>
          <w:p w14:paraId="4C5FC871" w14:textId="33E9DAEF" w:rsidR="00A71D79" w:rsidRDefault="00A71D79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40803F16" wp14:editId="1DF0A4AA">
                  <wp:extent cx="243205" cy="330835"/>
                  <wp:effectExtent l="0" t="0" r="4445" b="0"/>
                  <wp:docPr id="6" name="Slik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33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1997829" w14:textId="77777777" w:rsidR="00A71D79" w:rsidRDefault="00A71D79"/>
        </w:tc>
        <w:tc>
          <w:tcPr>
            <w:tcW w:w="2546" w:type="dxa"/>
            <w:vMerge w:val="restart"/>
            <w:vAlign w:val="center"/>
            <w:hideMark/>
          </w:tcPr>
          <w:p w14:paraId="47A37FF5" w14:textId="430CB5D0" w:rsidR="00A71D79" w:rsidRDefault="00A71D79">
            <w:r>
              <w:rPr>
                <w:noProof/>
                <w:lang w:eastAsia="hr-HR"/>
              </w:rPr>
              <w:drawing>
                <wp:inline distT="0" distB="0" distL="0" distR="0" wp14:anchorId="13010038" wp14:editId="162C7838">
                  <wp:extent cx="1449705" cy="447675"/>
                  <wp:effectExtent l="0" t="0" r="0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70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1D79" w14:paraId="0C4D51A7" w14:textId="77777777" w:rsidTr="00A71D79">
        <w:tc>
          <w:tcPr>
            <w:tcW w:w="3082" w:type="dxa"/>
            <w:gridSpan w:val="2"/>
            <w:vAlign w:val="center"/>
            <w:hideMark/>
          </w:tcPr>
          <w:p w14:paraId="0A34F3BA" w14:textId="77777777" w:rsidR="00A71D79" w:rsidRDefault="00A71D79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tab w:relativeTo="margin" w:alignment="left" w:leader="none"/>
            </w:r>
            <w:r>
              <w:rPr>
                <w:rFonts w:ascii="Times New Roman" w:hAnsi="Times New Roman" w:cs="Times New Roman"/>
              </w:rPr>
              <w:ptab w:relativeTo="margin" w:alignment="left" w:leader="none"/>
            </w:r>
            <w:r>
              <w:rPr>
                <w:rFonts w:ascii="Times New Roman" w:hAnsi="Times New Roman" w:cs="Times New Roman"/>
              </w:rPr>
              <w:t>REPUBLIKA HRVATSKA</w:t>
            </w:r>
          </w:p>
          <w:p w14:paraId="2C76CFA2" w14:textId="77777777" w:rsidR="00A71D79" w:rsidRDefault="00A71D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65084201" w14:textId="77777777" w:rsidR="00A71D79" w:rsidRDefault="00A71D79"/>
        </w:tc>
        <w:tc>
          <w:tcPr>
            <w:tcW w:w="0" w:type="auto"/>
            <w:vMerge/>
            <w:vAlign w:val="center"/>
            <w:hideMark/>
          </w:tcPr>
          <w:p w14:paraId="08D91D7F" w14:textId="77777777" w:rsidR="00A71D79" w:rsidRDefault="00A71D79"/>
        </w:tc>
      </w:tr>
      <w:tr w:rsidR="00A71D79" w14:paraId="347F4013" w14:textId="77777777" w:rsidTr="00A71D79">
        <w:tc>
          <w:tcPr>
            <w:tcW w:w="636" w:type="dxa"/>
            <w:vAlign w:val="center"/>
            <w:hideMark/>
          </w:tcPr>
          <w:p w14:paraId="0D423635" w14:textId="4514EDCA" w:rsidR="00A71D79" w:rsidRDefault="00A71D79">
            <w:r>
              <w:rPr>
                <w:noProof/>
                <w:lang w:eastAsia="hr-HR"/>
              </w:rPr>
              <w:drawing>
                <wp:inline distT="0" distB="0" distL="0" distR="0" wp14:anchorId="287213ED" wp14:editId="7D912A69">
                  <wp:extent cx="262890" cy="301625"/>
                  <wp:effectExtent l="0" t="0" r="3810" b="3175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" cy="30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  <w:hideMark/>
          </w:tcPr>
          <w:p w14:paraId="40264E1E" w14:textId="77777777" w:rsidR="00A71D79" w:rsidRDefault="00A71D79">
            <w:r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88FBDF3" w14:textId="77777777" w:rsidR="00A71D79" w:rsidRDefault="00A71D79"/>
        </w:tc>
        <w:tc>
          <w:tcPr>
            <w:tcW w:w="0" w:type="auto"/>
            <w:vMerge/>
            <w:vAlign w:val="center"/>
            <w:hideMark/>
          </w:tcPr>
          <w:p w14:paraId="5D76E014" w14:textId="77777777" w:rsidR="00A71D79" w:rsidRDefault="00A71D79"/>
        </w:tc>
      </w:tr>
    </w:tbl>
    <w:p w14:paraId="10C9E675" w14:textId="77777777" w:rsidR="00A71D79" w:rsidRDefault="00A71D79" w:rsidP="00A71D7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C9AC9E8" w14:textId="77777777" w:rsidR="00A71D79" w:rsidRDefault="00A71D79" w:rsidP="00A71D79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94093FC" w14:textId="77777777" w:rsidR="00A71D79" w:rsidRDefault="00A71D79" w:rsidP="00A71D79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UPRAVNI ODJEL ZA PROSTORNO UREĐENJE,</w:t>
      </w:r>
    </w:p>
    <w:p w14:paraId="4D7A080F" w14:textId="77777777" w:rsidR="00A71D79" w:rsidRDefault="00A71D79" w:rsidP="00A71D79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GRADNJU I ZAŠTITU OKOLIŠA</w:t>
      </w:r>
    </w:p>
    <w:p w14:paraId="5D93F54C" w14:textId="77777777" w:rsidR="00A71D79" w:rsidRDefault="00A71D79" w:rsidP="00A71D79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Karlovac, 5. ožujka 2020.</w:t>
      </w:r>
    </w:p>
    <w:p w14:paraId="10365A40" w14:textId="77777777" w:rsidR="00A71D79" w:rsidRDefault="00A71D79" w:rsidP="00A71D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14:paraId="10310379" w14:textId="77777777" w:rsidR="00A71D79" w:rsidRDefault="00A71D79" w:rsidP="00A71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AT"/>
        </w:rPr>
      </w:pPr>
      <w:r>
        <w:rPr>
          <w:rFonts w:ascii="Times New Roman" w:eastAsia="Times New Roman" w:hAnsi="Times New Roman" w:cs="Times New Roman"/>
          <w:b/>
          <w:bCs/>
        </w:rPr>
        <w:t xml:space="preserve">Izvješće </w:t>
      </w:r>
      <w:r>
        <w:rPr>
          <w:rFonts w:ascii="Times New Roman" w:eastAsia="Times New Roman" w:hAnsi="Times New Roman" w:cs="Times New Roman"/>
          <w:b/>
          <w:lang w:eastAsia="hr-HR"/>
        </w:rPr>
        <w:t>o izvršenju Programa gradnje objekata i uređaja</w:t>
      </w:r>
      <w:r>
        <w:rPr>
          <w:rFonts w:ascii="Times New Roman" w:eastAsia="Times New Roman" w:hAnsi="Times New Roman" w:cs="Times New Roman"/>
          <w:b/>
          <w:lang w:val="de-AT"/>
        </w:rPr>
        <w:t xml:space="preserve"> </w:t>
      </w:r>
    </w:p>
    <w:p w14:paraId="435EF19A" w14:textId="77777777" w:rsidR="00A71D79" w:rsidRDefault="00A71D79" w:rsidP="00A71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de-AT"/>
        </w:rPr>
      </w:pPr>
      <w:proofErr w:type="spellStart"/>
      <w:r>
        <w:rPr>
          <w:rFonts w:ascii="Times New Roman" w:eastAsia="Times New Roman" w:hAnsi="Times New Roman" w:cs="Times New Roman"/>
          <w:b/>
          <w:lang w:val="de-AT"/>
        </w:rPr>
        <w:t>komunalne</w:t>
      </w:r>
      <w:proofErr w:type="spellEnd"/>
      <w:r>
        <w:rPr>
          <w:rFonts w:ascii="Times New Roman" w:eastAsia="Times New Roman" w:hAnsi="Times New Roman" w:cs="Times New Roman"/>
          <w:b/>
          <w:lang w:val="de-AT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b/>
          <w:lang w:val="de-AT"/>
        </w:rPr>
        <w:t>druge</w:t>
      </w:r>
      <w:proofErr w:type="spellEnd"/>
      <w:r>
        <w:rPr>
          <w:rFonts w:ascii="Times New Roman" w:eastAsia="Times New Roman" w:hAnsi="Times New Roman" w:cs="Times New Roman"/>
          <w:b/>
          <w:lang w:val="de-A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val="de-AT"/>
        </w:rPr>
        <w:t>infrastrukture</w:t>
      </w:r>
      <w:proofErr w:type="spellEnd"/>
      <w:r>
        <w:rPr>
          <w:rFonts w:ascii="Times New Roman" w:eastAsia="Times New Roman" w:hAnsi="Times New Roman" w:cs="Times New Roman"/>
          <w:b/>
          <w:lang w:val="de-AT"/>
        </w:rPr>
        <w:t xml:space="preserve"> u</w:t>
      </w:r>
      <w:r>
        <w:rPr>
          <w:rFonts w:ascii="Times New Roman" w:eastAsia="Times New Roman" w:hAnsi="Times New Roman" w:cs="Times New Roman"/>
          <w:b/>
        </w:rPr>
        <w:t xml:space="preserve"> 2019. g</w:t>
      </w:r>
      <w:proofErr w:type="spellStart"/>
      <w:r>
        <w:rPr>
          <w:rFonts w:ascii="Times New Roman" w:eastAsia="Times New Roman" w:hAnsi="Times New Roman" w:cs="Times New Roman"/>
          <w:b/>
          <w:lang w:val="de-AT"/>
        </w:rPr>
        <w:t>odini</w:t>
      </w:r>
      <w:proofErr w:type="spellEnd"/>
    </w:p>
    <w:p w14:paraId="2C678713" w14:textId="77777777" w:rsidR="00A71D79" w:rsidRDefault="00A71D79" w:rsidP="00A71D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AB5AD7C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Sukladno članku 71. Zakona o komunalnom gospodarstvu („Narodne novine“ br. 68/18, 110/18) i čl.6. Programa gradnje objekata i uređaja komunalne i druge infrastrukture u 2019. godini („Glasnik Grada Karlovca“ br. </w:t>
      </w:r>
      <w:r>
        <w:rPr>
          <w:rFonts w:ascii="Times New Roman" w:eastAsia="Times New Roman" w:hAnsi="Times New Roman" w:cs="Times New Roman"/>
          <w:lang w:eastAsia="hr-HR"/>
        </w:rPr>
        <w:t>20/18</w:t>
      </w:r>
      <w:r>
        <w:rPr>
          <w:rFonts w:ascii="Times New Roman" w:eastAsia="Times New Roman" w:hAnsi="Times New Roman" w:cs="Times New Roman"/>
        </w:rPr>
        <w:t>, 7/19, 11/19 i 18/19, dalje u tekstu: Program), podnosi se Izvješće o izvršenju Programa kojim se daje prikaz izvršenih rashoda za izgradnju objekata i uređaja komunalne (nerazvrstane ceste, groblja, javne površine na kojima nije dopušten promet motornim vozilima i dr.)  infrastrukture i druge infrastrukture na području grada Karlovca u 2019. godini, kao i prikaz izvora financijskih sredstava za gradnju navedenih objekata i infrastrukture, kako slijedi:</w:t>
      </w:r>
    </w:p>
    <w:p w14:paraId="46CD2FC2" w14:textId="77777777" w:rsidR="00A71D79" w:rsidRDefault="00A71D79" w:rsidP="00A71D7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8AE0AC8" w14:textId="77777777" w:rsidR="00A71D79" w:rsidRDefault="00A71D79" w:rsidP="00A71D79">
      <w:pPr>
        <w:numPr>
          <w:ilvl w:val="0"/>
          <w:numId w:val="7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Kapitalni projekt: A03 3002 K300011 Uređenje i izgradnja prometnica</w:t>
      </w:r>
    </w:p>
    <w:p w14:paraId="57E0644F" w14:textId="77777777" w:rsidR="00A71D79" w:rsidRDefault="00A71D79" w:rsidP="00A71D79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bookmarkStart w:id="2" w:name="_Hlk31009819"/>
      <w:r>
        <w:rPr>
          <w:rFonts w:ascii="Times New Roman" w:eastAsia="Times New Roman" w:hAnsi="Times New Roman" w:cs="Times New Roman"/>
          <w:bCs/>
        </w:rPr>
        <w:t>PLANIRANO: 4.955.791,00 kn</w:t>
      </w:r>
    </w:p>
    <w:p w14:paraId="567519BE" w14:textId="77777777" w:rsidR="00A71D79" w:rsidRDefault="00A71D79" w:rsidP="00A71D79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4.932.009,89 kn</w:t>
      </w:r>
    </w:p>
    <w:p w14:paraId="65696F34" w14:textId="77777777" w:rsidR="00A71D79" w:rsidRDefault="00A71D79" w:rsidP="00A71D79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Cs/>
        </w:rPr>
        <w:t xml:space="preserve">INDEKS: 99,52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bookmarkEnd w:id="2"/>
    <w:p w14:paraId="18DC0E49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Sredstva u iznosu od 4.581264,41 kuna utrošena su za dovršetku radova (započetih u drugoj polovici 2018. godine), a koji se odnose na rekonstrukciju raskrižja Ulice Rakovac sa Domobranskom ulicom i Radićevom ulicom izgradnjom raskrižja kružnog oblika – rotora sa 4 kraka ukupne dužine 634,89 m. Unutar projekta u potpunosti je rekonstruiran dvostrani nogostup na način da je zadržana postojeća širina nogostupa, a asfalt zamijenjen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opločnicima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>. Na lokaciji zahvata rekonstruira je i javna rasvjeta, DTK kanalizacija i hortikulturno uređenje. Projekt se provodio koordinirano s radovima na rekonstrukciji vodoopskrbe i sanitarne odvodnje tvrtke Vodovod i kanalizacija d.o.o.</w:t>
      </w:r>
    </w:p>
    <w:p w14:paraId="4D1CCBAE" w14:textId="77777777" w:rsidR="00A71D79" w:rsidRDefault="00A71D79" w:rsidP="00A71D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Dio osiguranih sredstava u iznosu od 350.745,48 kuna utrošen je za cjeloviti dovršetak radova na rekonstrukciji prometnica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Podgrađa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odnosno izvođenje IV. faze - uređenje Ulica P. Preradovića i I. Gundulića. </w:t>
      </w:r>
    </w:p>
    <w:p w14:paraId="64BE9EC9" w14:textId="77777777" w:rsidR="00A71D79" w:rsidRDefault="00A71D79" w:rsidP="00A71D79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7FDE7748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2. Kapitalni projekt: A03 3002 K300014 Radićeva ulica – rekonstrukcija i uređenje</w:t>
      </w:r>
    </w:p>
    <w:p w14:paraId="14930570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67444BF6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/>
        </w:rPr>
        <w:t xml:space="preserve">     </w:t>
      </w:r>
      <w:r>
        <w:rPr>
          <w:rFonts w:ascii="Times New Roman" w:eastAsia="Times New Roman" w:hAnsi="Times New Roman" w:cs="Times New Roman"/>
          <w:bCs/>
        </w:rPr>
        <w:t>PLANIRANO: 300.000,00 kn</w:t>
      </w:r>
    </w:p>
    <w:p w14:paraId="42231800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OSTVARENO: </w:t>
      </w:r>
      <w:bookmarkStart w:id="3" w:name="_Hlk31633046"/>
      <w:r>
        <w:rPr>
          <w:rFonts w:ascii="Times New Roman" w:eastAsia="Times New Roman" w:hAnsi="Times New Roman" w:cs="Times New Roman"/>
          <w:bCs/>
        </w:rPr>
        <w:t xml:space="preserve">166.564,39 </w:t>
      </w:r>
      <w:bookmarkEnd w:id="3"/>
      <w:r>
        <w:rPr>
          <w:rFonts w:ascii="Times New Roman" w:eastAsia="Times New Roman" w:hAnsi="Times New Roman" w:cs="Times New Roman"/>
          <w:bCs/>
        </w:rPr>
        <w:t>kn</w:t>
      </w:r>
    </w:p>
    <w:p w14:paraId="575C8699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INDEKS: 55,52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13A48A2E" w14:textId="77777777" w:rsidR="00A71D79" w:rsidRDefault="00A71D79" w:rsidP="00A71D79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</w:rPr>
        <w:t xml:space="preserve">redstva u iznosu od </w:t>
      </w:r>
      <w:r>
        <w:rPr>
          <w:rFonts w:ascii="Times New Roman" w:eastAsia="Times New Roman" w:hAnsi="Times New Roman" w:cs="Times New Roman"/>
          <w:bCs/>
        </w:rPr>
        <w:t xml:space="preserve">166.564,39 </w:t>
      </w:r>
      <w:r>
        <w:rPr>
          <w:rFonts w:ascii="Times New Roman" w:eastAsia="Times New Roman" w:hAnsi="Times New Roman" w:cs="Times New Roman"/>
        </w:rPr>
        <w:t xml:space="preserve">kuna utrošena su za rashode za usluge, za materijal i energiju te druge rashode potrebne </w:t>
      </w:r>
      <w:r>
        <w:rPr>
          <w:rFonts w:ascii="Times New Roman" w:eastAsia="Calibri" w:hAnsi="Times New Roman" w:cs="Times New Roman"/>
        </w:rPr>
        <w:t>za izvođenje arheoloških istraživanja na dijelu Radićeve ulice, a kao predradnja</w:t>
      </w:r>
      <w:r>
        <w:rPr>
          <w:rFonts w:ascii="Times New Roman" w:eastAsia="Times New Roman" w:hAnsi="Times New Roman" w:cs="Times New Roman"/>
        </w:rPr>
        <w:t xml:space="preserve"> u sklopu zahvata na rekonstrukciji prometnih površina i druge infrastrukture unutar kulturno – povijesne urbanističke cjeline Zvijezda</w:t>
      </w:r>
      <w:r>
        <w:rPr>
          <w:rFonts w:ascii="Times New Roman" w:eastAsia="Calibri" w:hAnsi="Times New Roman" w:cs="Times New Roman"/>
        </w:rPr>
        <w:t>. Vrsta arheoloških istraživanja, točne pozicije i obujam arheoloških radova određeni su prema posebnim uvjetima Ministarstva kulture, Konzervatorskog odjela u Karlovcu.</w:t>
      </w:r>
    </w:p>
    <w:p w14:paraId="2A55BE16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66A0E63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3. Kapitalni projekt: A03 3002 K300016 Izgradnja groblja</w:t>
      </w:r>
    </w:p>
    <w:p w14:paraId="1DB6AEE1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045FA916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PLANIRANO: 717.000,00 kn</w:t>
      </w:r>
    </w:p>
    <w:p w14:paraId="64E65F12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4DA2A93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OSTVARENO: 514.923,24 kn</w:t>
      </w:r>
    </w:p>
    <w:p w14:paraId="70A03EF6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E9C636B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INDEKS: 71,82 %</w:t>
      </w:r>
    </w:p>
    <w:p w14:paraId="609EEA0B" w14:textId="77777777" w:rsidR="00A71D79" w:rsidRDefault="00A71D79" w:rsidP="00A71D79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4B859098" w14:textId="77777777" w:rsidR="00A71D79" w:rsidRDefault="00A71D79" w:rsidP="00A71D7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 2019. godini iznos od 50.250,00 kuna utrošen je za uslugu izrade glavnog projekta uređenja dijela groblja </w:t>
      </w:r>
      <w:proofErr w:type="spellStart"/>
      <w:r>
        <w:rPr>
          <w:rFonts w:ascii="Times New Roman" w:eastAsia="Times New Roman" w:hAnsi="Times New Roman" w:cs="Times New Roman"/>
        </w:rPr>
        <w:t>Hrnetić</w:t>
      </w:r>
      <w:proofErr w:type="spellEnd"/>
      <w:r>
        <w:rPr>
          <w:rFonts w:ascii="Times New Roman" w:eastAsia="Times New Roman" w:hAnsi="Times New Roman" w:cs="Times New Roman"/>
        </w:rPr>
        <w:t xml:space="preserve"> sa troškovnikom radova, a koji sadrži rješenje glavnih i pristupnih staza, centralni križ, rješenje odvodnje </w:t>
      </w:r>
      <w:proofErr w:type="spellStart"/>
      <w:r>
        <w:rPr>
          <w:rFonts w:ascii="Times New Roman" w:eastAsia="Times New Roman" w:hAnsi="Times New Roman" w:cs="Times New Roman"/>
        </w:rPr>
        <w:t>oborinskih</w:t>
      </w:r>
      <w:proofErr w:type="spellEnd"/>
      <w:r>
        <w:rPr>
          <w:rFonts w:ascii="Times New Roman" w:eastAsia="Times New Roman" w:hAnsi="Times New Roman" w:cs="Times New Roman"/>
        </w:rPr>
        <w:t xml:space="preserve"> voda, vodoopskrbe, mjesto za kontejner,  rješenje hortikulture i urbane opreme te rješenje javne rasvjete.</w:t>
      </w:r>
    </w:p>
    <w:p w14:paraId="5E0906EF" w14:textId="77777777" w:rsidR="00A71D79" w:rsidRDefault="00A71D79" w:rsidP="00A71D7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Sredstva u ukupnom iznosu od 464.673,24 kuna utrošena su za radove i usluge stručnog nadzora na izgradnji grobnog polja 16 groblja </w:t>
      </w:r>
      <w:proofErr w:type="spellStart"/>
      <w:r>
        <w:rPr>
          <w:rFonts w:ascii="Times New Roman" w:eastAsia="Times New Roman" w:hAnsi="Times New Roman" w:cs="Times New Roman"/>
        </w:rPr>
        <w:t>Jamadol</w:t>
      </w:r>
      <w:proofErr w:type="spellEnd"/>
      <w:r>
        <w:rPr>
          <w:rFonts w:ascii="Times New Roman" w:eastAsia="Times New Roman" w:hAnsi="Times New Roman" w:cs="Times New Roman"/>
        </w:rPr>
        <w:t xml:space="preserve">, a u okviru koji su izvedeni radovi na izgradnji grobnih staza, potpornih zidova, infrastrukture polja 16 te hortikulturno uređenje. </w:t>
      </w:r>
    </w:p>
    <w:p w14:paraId="1B5BF85C" w14:textId="77777777" w:rsidR="00A71D79" w:rsidRDefault="00A71D79" w:rsidP="00A71D79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hr-HR"/>
        </w:rPr>
      </w:pPr>
    </w:p>
    <w:p w14:paraId="3253ACBA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</w:t>
      </w:r>
      <w:bookmarkStart w:id="4" w:name="_Hlk31175111"/>
      <w:r>
        <w:rPr>
          <w:rFonts w:ascii="Times New Roman" w:eastAsia="Times New Roman" w:hAnsi="Times New Roman" w:cs="Times New Roman"/>
          <w:b/>
        </w:rPr>
        <w:t>. Kapitalni projekt: A03 3002 K300021 Odvodnja grada</w:t>
      </w:r>
    </w:p>
    <w:p w14:paraId="4F16241A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F73CCB1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PLANIRANO: 950.000,00 kn</w:t>
      </w:r>
    </w:p>
    <w:p w14:paraId="38807493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04EFD0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OSTVARENO: 931.212,96 kn</w:t>
      </w:r>
    </w:p>
    <w:p w14:paraId="5F70D22E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3C23D4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INDEKS: 98,02 %</w:t>
      </w:r>
    </w:p>
    <w:p w14:paraId="4C372BD2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98ECC7" w14:textId="77777777" w:rsidR="00A71D79" w:rsidRDefault="00A71D79" w:rsidP="00A71D79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lang w:eastAsia="hr-HR"/>
        </w:rPr>
        <w:t xml:space="preserve">redstva u iznosu od 439.375,00 kuna utrošena su za uslugu izrade projektne dokumentacije za rekonstrukciju Ljubljanske ulice,  Ulice A.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Nemčića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do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Marmonove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aleje te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Šporerove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 ulice do rijeke Kupe, a u sklopu koje se nalazi i koridor trase kanala oborinske odvodnje iz IV etape projekta odvodnje brdskih voda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Luščića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, Strmca i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Dubovca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>. Izrada navedene projektne dokumentacije sufinancirana je od strane Hrvatskih voda (50%).</w:t>
      </w:r>
    </w:p>
    <w:p w14:paraId="34C09829" w14:textId="77777777" w:rsidR="00A71D79" w:rsidRDefault="00A71D79" w:rsidP="00A71D7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Iznos od 491.837,96 kuna utrošen je za radove i uslugu stručnog nadzora na izgradnji spojnog kolektora oborinske kanalizacije od poslovne zone Gornje </w:t>
      </w:r>
      <w:proofErr w:type="spellStart"/>
      <w:r>
        <w:rPr>
          <w:rFonts w:ascii="Times New Roman" w:eastAsia="Calibri" w:hAnsi="Times New Roman" w:cs="Times New Roman"/>
        </w:rPr>
        <w:t>Mekušje</w:t>
      </w:r>
      <w:proofErr w:type="spellEnd"/>
      <w:r>
        <w:rPr>
          <w:rFonts w:ascii="Times New Roman" w:eastAsia="Calibri" w:hAnsi="Times New Roman" w:cs="Times New Roman"/>
        </w:rPr>
        <w:t xml:space="preserve"> do regulacijskog kanala Gornje </w:t>
      </w:r>
      <w:proofErr w:type="spellStart"/>
      <w:r>
        <w:rPr>
          <w:rFonts w:ascii="Times New Roman" w:eastAsia="Calibri" w:hAnsi="Times New Roman" w:cs="Times New Roman"/>
        </w:rPr>
        <w:t>Mekušje</w:t>
      </w:r>
      <w:proofErr w:type="spellEnd"/>
      <w:r>
        <w:rPr>
          <w:rFonts w:ascii="Times New Roman" w:eastAsia="Calibri" w:hAnsi="Times New Roman" w:cs="Times New Roman"/>
        </w:rPr>
        <w:t>.</w:t>
      </w:r>
    </w:p>
    <w:p w14:paraId="5B9A3F20" w14:textId="77777777" w:rsidR="00A71D79" w:rsidRDefault="00A71D79" w:rsidP="00A71D7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bookmarkEnd w:id="4"/>
    <w:p w14:paraId="47748D7C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5. Kapitalni projekt: A03 3002 K300026 Projekt sanacije pothodnika</w:t>
      </w:r>
    </w:p>
    <w:p w14:paraId="5D64A63C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94A43FB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PLANIRANO: 1.208.844,00 kn</w:t>
      </w:r>
    </w:p>
    <w:p w14:paraId="311EDB83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7D7F6A7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OSTVARENO: 933.245,95 kn</w:t>
      </w:r>
    </w:p>
    <w:p w14:paraId="031E11C7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9CC01B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INDEKS: 77,20 %</w:t>
      </w:r>
    </w:p>
    <w:p w14:paraId="1F82AA39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C91216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Iznos od </w:t>
      </w:r>
      <w:r>
        <w:rPr>
          <w:rFonts w:ascii="Times New Roman" w:eastAsia="Times New Roman" w:hAnsi="Times New Roman" w:cs="Times New Roman"/>
        </w:rPr>
        <w:t xml:space="preserve">933.245,95 </w:t>
      </w:r>
      <w:r>
        <w:rPr>
          <w:rFonts w:ascii="Times New Roman" w:eastAsia="Times New Roman" w:hAnsi="Times New Roman" w:cs="Times New Roman"/>
          <w:lang w:eastAsia="hr-HR"/>
        </w:rPr>
        <w:t>kuna utrošen je sufinanciranje radova</w:t>
      </w:r>
      <w:r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na rekonstrukciji raskrižja Prilaz V. Holjevca (DC 1) - Trg hrvatskih branitelja - Ulica kralja Tomislava (</w:t>
      </w:r>
      <w:r>
        <w:rPr>
          <w:rFonts w:ascii="Times New Roman" w:hAnsi="Times New Roman" w:cs="Times New Roman"/>
          <w:bCs/>
        </w:rPr>
        <w:t xml:space="preserve">obnova kolnika dijela državne ceste DC1 u Karlovcu, na dionici Pothodnik (Kralja Tomislava) – </w:t>
      </w:r>
      <w:proofErr w:type="spellStart"/>
      <w:r>
        <w:rPr>
          <w:rFonts w:ascii="Times New Roman" w:hAnsi="Times New Roman" w:cs="Times New Roman"/>
          <w:bCs/>
        </w:rPr>
        <w:t>Smičiklasova</w:t>
      </w:r>
      <w:proofErr w:type="spellEnd"/>
      <w:r>
        <w:rPr>
          <w:rFonts w:ascii="Times New Roman" w:hAnsi="Times New Roman" w:cs="Times New Roman"/>
          <w:bCs/>
        </w:rPr>
        <w:t>)</w:t>
      </w:r>
      <w:r>
        <w:rPr>
          <w:rFonts w:cstheme="minorHAnsi"/>
          <w:bCs/>
        </w:rPr>
        <w:t xml:space="preserve"> </w:t>
      </w:r>
      <w:r>
        <w:rPr>
          <w:rFonts w:ascii="Times New Roman" w:eastAsia="Times New Roman" w:hAnsi="Times New Roman" w:cs="Times New Roman"/>
          <w:spacing w:val="-3"/>
          <w:lang w:val="pl-PL" w:eastAsia="hr-HR"/>
        </w:rPr>
        <w:t>kojih su investitor Hrvatske ceste d.o.o.. Unutar izvedenih radova, Grad Karlovac</w:t>
      </w:r>
      <w:r>
        <w:rPr>
          <w:rFonts w:ascii="Times New Roman" w:eastAsia="Times New Roman" w:hAnsi="Times New Roman" w:cs="Times New Roman"/>
          <w:lang w:val="pl-PL"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je snosio troškove radova</w:t>
      </w:r>
      <w:r>
        <w:rPr>
          <w:rFonts w:ascii="Times New Roman" w:eastAsia="Times New Roman" w:hAnsi="Times New Roman" w:cs="Times New Roman"/>
          <w:spacing w:val="-3"/>
          <w:lang w:val="pl-PL" w:eastAsia="hr-HR"/>
        </w:rPr>
        <w:t xml:space="preserve"> na hidroizolaciji iznad pothodnika, izolaciju zidova do visina drenaže i drenažu oko pothodnika, a sve kao nastavak ranije izvedenih radova na sanaciji prodora vode u pothodnik.</w:t>
      </w:r>
    </w:p>
    <w:p w14:paraId="26C7DDD7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C9640B8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6. Kapitalni projekt: A03 3002 K300028 Izrada projektne dokumentacije</w:t>
      </w:r>
    </w:p>
    <w:p w14:paraId="0B3DB4DA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2.624.750,00 kn</w:t>
      </w:r>
    </w:p>
    <w:p w14:paraId="594FD926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2.208.620,49 kn</w:t>
      </w:r>
    </w:p>
    <w:p w14:paraId="674A6B5B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84,15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2D05791F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Sredstva su utrošena za plaćanje doprinosa, suglasnosti, kontrola, atestiranja (iznos od 14.595,49 kn) te za  izradu sljedeće projektne dokumentacije (iznos od 2.194.025,00 kn) :</w:t>
      </w:r>
    </w:p>
    <w:p w14:paraId="460465CA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hr-HR"/>
        </w:rPr>
        <w:lastRenderedPageBreak/>
        <w:t>Obilaznica Zvijezde – prometni elaborat, idejni projekt</w:t>
      </w:r>
    </w:p>
    <w:p w14:paraId="31C1D3D2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hr-HR"/>
        </w:rPr>
        <w:t>Komunalna infrastruktura Zvijezde, izmjene i dopune glavnog projekta</w:t>
      </w:r>
    </w:p>
    <w:p w14:paraId="73E7E62B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hr-HR"/>
        </w:rPr>
        <w:t>Uređenje ulice Obala V. Mažuranića, glavni projekt</w:t>
      </w:r>
    </w:p>
    <w:p w14:paraId="2275F962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Oborinski</w:t>
      </w:r>
      <w:proofErr w:type="spellEnd"/>
      <w:r>
        <w:rPr>
          <w:rFonts w:ascii="Times New Roman" w:eastAsia="Times New Roman" w:hAnsi="Times New Roman" w:cs="Times New Roman"/>
        </w:rPr>
        <w:t xml:space="preserve"> kanal </w:t>
      </w:r>
      <w:proofErr w:type="spellStart"/>
      <w:r>
        <w:rPr>
          <w:rFonts w:ascii="Times New Roman" w:eastAsia="Times New Roman" w:hAnsi="Times New Roman" w:cs="Times New Roman"/>
        </w:rPr>
        <w:t>Sajevac</w:t>
      </w:r>
      <w:proofErr w:type="spellEnd"/>
      <w:r>
        <w:rPr>
          <w:rFonts w:ascii="Times New Roman" w:eastAsia="Times New Roman" w:hAnsi="Times New Roman" w:cs="Times New Roman"/>
        </w:rPr>
        <w:t>, idejni i glavni projekt</w:t>
      </w:r>
    </w:p>
    <w:p w14:paraId="22ECDE86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Projekt Pješačko-biciklistička staza u ulici </w:t>
      </w:r>
      <w:proofErr w:type="spellStart"/>
      <w:r>
        <w:rPr>
          <w:rFonts w:ascii="Times New Roman" w:eastAsia="Times New Roman" w:hAnsi="Times New Roman" w:cs="Times New Roman"/>
        </w:rPr>
        <w:t>Žorovica</w:t>
      </w:r>
      <w:proofErr w:type="spellEnd"/>
    </w:p>
    <w:p w14:paraId="74217DD0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Uređenje okoliša Ulice T. </w:t>
      </w:r>
      <w:proofErr w:type="spellStart"/>
      <w:r>
        <w:rPr>
          <w:rFonts w:ascii="Times New Roman" w:eastAsia="Times New Roman" w:hAnsi="Times New Roman" w:cs="Times New Roman"/>
        </w:rPr>
        <w:t>Smičiklasa</w:t>
      </w:r>
      <w:proofErr w:type="spellEnd"/>
      <w:r>
        <w:rPr>
          <w:rFonts w:ascii="Times New Roman" w:eastAsia="Times New Roman" w:hAnsi="Times New Roman" w:cs="Times New Roman"/>
        </w:rPr>
        <w:t xml:space="preserve"> 14, 14 a,14 b,14 c,14 d,14 e, glavni projekt</w:t>
      </w:r>
    </w:p>
    <w:p w14:paraId="43E48B2D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projekti u suradnji s Hrvatskim cestama d.o.o. (nogostup </w:t>
      </w:r>
      <w:proofErr w:type="spellStart"/>
      <w:r>
        <w:rPr>
          <w:rFonts w:ascii="Times New Roman" w:eastAsia="Times New Roman" w:hAnsi="Times New Roman" w:cs="Times New Roman"/>
        </w:rPr>
        <w:t>Tušilović</w:t>
      </w:r>
      <w:proofErr w:type="spellEnd"/>
      <w:r>
        <w:rPr>
          <w:rFonts w:ascii="Times New Roman" w:eastAsia="Times New Roman" w:hAnsi="Times New Roman" w:cs="Times New Roman"/>
        </w:rPr>
        <w:t>, nogostup Zagrebačka ulica), glavni projekti</w:t>
      </w:r>
    </w:p>
    <w:p w14:paraId="31BC0581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Uređenje parkirališta kod Školske sportske dvorane Mladost, glavni projekt</w:t>
      </w:r>
    </w:p>
    <w:p w14:paraId="152BFCA2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Ulica S. </w:t>
      </w:r>
      <w:proofErr w:type="spellStart"/>
      <w:r>
        <w:rPr>
          <w:rFonts w:ascii="Times New Roman" w:eastAsia="Times New Roman" w:hAnsi="Times New Roman" w:cs="Times New Roman"/>
        </w:rPr>
        <w:t>Vraza</w:t>
      </w:r>
      <w:proofErr w:type="spellEnd"/>
      <w:r>
        <w:rPr>
          <w:rFonts w:ascii="Times New Roman" w:eastAsia="Times New Roman" w:hAnsi="Times New Roman" w:cs="Times New Roman"/>
        </w:rPr>
        <w:t>, II faza, glavni projekt</w:t>
      </w:r>
    </w:p>
    <w:p w14:paraId="5387935D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Ulica I. </w:t>
      </w:r>
      <w:proofErr w:type="spellStart"/>
      <w:r>
        <w:rPr>
          <w:rFonts w:ascii="Times New Roman" w:eastAsia="Times New Roman" w:hAnsi="Times New Roman" w:cs="Times New Roman"/>
        </w:rPr>
        <w:t>Grahe</w:t>
      </w:r>
      <w:proofErr w:type="spellEnd"/>
      <w:r>
        <w:rPr>
          <w:rFonts w:ascii="Times New Roman" w:eastAsia="Times New Roman" w:hAnsi="Times New Roman" w:cs="Times New Roman"/>
        </w:rPr>
        <w:t>, glavni projekt</w:t>
      </w:r>
    </w:p>
    <w:p w14:paraId="132D3FB0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Ulica A. </w:t>
      </w:r>
      <w:proofErr w:type="spellStart"/>
      <w:r>
        <w:rPr>
          <w:rFonts w:ascii="Times New Roman" w:eastAsia="Times New Roman" w:hAnsi="Times New Roman" w:cs="Times New Roman"/>
        </w:rPr>
        <w:t>Majdera</w:t>
      </w:r>
      <w:proofErr w:type="spellEnd"/>
      <w:r>
        <w:rPr>
          <w:rFonts w:ascii="Times New Roman" w:eastAsia="Times New Roman" w:hAnsi="Times New Roman" w:cs="Times New Roman"/>
        </w:rPr>
        <w:t xml:space="preserve"> – Koransko šetalište, glavni projekt</w:t>
      </w:r>
    </w:p>
    <w:p w14:paraId="49F101CD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Ulica F. Kurelca, glavni projekt</w:t>
      </w:r>
    </w:p>
    <w:p w14:paraId="3DDEFE86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Trg bana J. Jelačića, glavni projekt</w:t>
      </w:r>
    </w:p>
    <w:p w14:paraId="2ED7277C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Tipski projekt zaštite spremnika za komunalni otpad</w:t>
      </w:r>
    </w:p>
    <w:p w14:paraId="0F127A7F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Projekt energetske obnove zgrade Javne vatrogasne postrojbe</w:t>
      </w:r>
    </w:p>
    <w:p w14:paraId="52F20153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Projekt energetske obnove zgrade gradske uprave, Trg bana J. Jelačića 7</w:t>
      </w:r>
    </w:p>
    <w:p w14:paraId="2929A6EB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Projekt energetske obnove zgrade Sokolskog doma</w:t>
      </w:r>
    </w:p>
    <w:p w14:paraId="3DF55013" w14:textId="77777777" w:rsidR="00A71D79" w:rsidRDefault="00A71D79" w:rsidP="00A71D79">
      <w:pPr>
        <w:pStyle w:val="Odlomakpopisa"/>
        <w:numPr>
          <w:ilvl w:val="1"/>
          <w:numId w:val="8"/>
        </w:numPr>
        <w:spacing w:after="0" w:line="240" w:lineRule="auto"/>
        <w:ind w:left="163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 dr.</w:t>
      </w:r>
    </w:p>
    <w:p w14:paraId="070DC66B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6819E5C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7. Kapitalni projekt A03 3002 K300032 Rekonstrukcija Dječjeg vrtića </w:t>
      </w:r>
      <w:proofErr w:type="spellStart"/>
      <w:r>
        <w:rPr>
          <w:rFonts w:ascii="Times New Roman" w:eastAsia="Times New Roman" w:hAnsi="Times New Roman" w:cs="Times New Roman"/>
          <w:b/>
        </w:rPr>
        <w:t>Grabrik</w:t>
      </w:r>
      <w:proofErr w:type="spellEnd"/>
    </w:p>
    <w:p w14:paraId="25A4FEB3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21.088.596,00 kn</w:t>
      </w:r>
    </w:p>
    <w:p w14:paraId="45CBD33F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21.044.480,55 kn</w:t>
      </w:r>
    </w:p>
    <w:p w14:paraId="3773F6E6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INDEKS: 99,79 %</w:t>
      </w:r>
    </w:p>
    <w:p w14:paraId="76D39551" w14:textId="77777777" w:rsidR="00A71D79" w:rsidRDefault="00A71D79" w:rsidP="00A71D79">
      <w:pPr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Iznos od </w:t>
      </w:r>
      <w:r>
        <w:rPr>
          <w:rFonts w:ascii="Times New Roman" w:eastAsia="Times New Roman" w:hAnsi="Times New Roman" w:cs="Times New Roman"/>
          <w:bCs/>
        </w:rPr>
        <w:t xml:space="preserve">21.044.480,55 </w:t>
      </w:r>
      <w:r>
        <w:rPr>
          <w:rFonts w:ascii="Times New Roman" w:eastAsia="Times New Roman" w:hAnsi="Times New Roman" w:cs="Times New Roman"/>
          <w:lang w:eastAsia="hr-HR"/>
        </w:rPr>
        <w:t xml:space="preserve">kuna utrošen je za dovršetak radova, uključujući i sve pripadajuće usluge stručnog nadzora na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 xml:space="preserve">rekonstrukciji dječjeg vrtića </w:t>
      </w:r>
      <w:proofErr w:type="spellStart"/>
      <w:r>
        <w:rPr>
          <w:rFonts w:ascii="Times New Roman" w:eastAsia="Times New Roman" w:hAnsi="Times New Roman" w:cs="Times New Roman"/>
          <w:lang w:eastAsia="hr-HR"/>
        </w:rPr>
        <w:t>Grabrik</w:t>
      </w:r>
      <w:proofErr w:type="spellEnd"/>
      <w:r>
        <w:rPr>
          <w:rFonts w:ascii="Times New Roman" w:eastAsia="Times New Roman" w:hAnsi="Times New Roman" w:cs="Times New Roman"/>
          <w:lang w:eastAsia="hr-HR"/>
        </w:rPr>
        <w:t xml:space="preserve">. Radovi su </w:t>
      </w:r>
      <w:r>
        <w:rPr>
          <w:rFonts w:ascii="Times New Roman" w:eastAsia="Calibri" w:hAnsi="Times New Roman" w:cs="Times New Roman"/>
          <w:lang w:eastAsia="hr-HR"/>
        </w:rPr>
        <w:t xml:space="preserve">dovršeni početkom kolovoza 2019. godine te je 23.08.2019. godine ishođena uporabna dozvola. Vrtić je započeo s radom u rujnu 2019. godine. </w:t>
      </w:r>
      <w:r>
        <w:rPr>
          <w:rFonts w:ascii="Times New Roman" w:eastAsia="Times New Roman" w:hAnsi="Times New Roman" w:cs="Times New Roman"/>
          <w:lang w:eastAsia="hr-HR"/>
        </w:rPr>
        <w:t>Rekonstrukcijom dječjeg vrtića osiguran je prostor za smještaj 11 odgojno obrazovnih skupina (6 vrtićkih + 5 jasličkih), gospodarski blok s centralnom kuhinjom za pripremu 500 obroka dnevno, garaža za dva dostavna vozila, administrativni prostori i dvorana te ostali potrebni prostore sukladno Pedagoškom standardu.</w:t>
      </w:r>
    </w:p>
    <w:p w14:paraId="2E14345F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8. </w:t>
      </w:r>
      <w:bookmarkStart w:id="5" w:name="_Hlk31184871"/>
      <w:r>
        <w:rPr>
          <w:rFonts w:ascii="Times New Roman" w:eastAsia="Times New Roman" w:hAnsi="Times New Roman" w:cs="Times New Roman"/>
          <w:b/>
        </w:rPr>
        <w:t>Kapitalni projekt A03 3002 K300033 Sanacija klizišta</w:t>
      </w:r>
    </w:p>
    <w:p w14:paraId="5829E25F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540.000,00 kn</w:t>
      </w:r>
    </w:p>
    <w:p w14:paraId="59DE49C0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446.600,00 kn</w:t>
      </w:r>
    </w:p>
    <w:p w14:paraId="3FC03287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82,70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4B5F2E79" w14:textId="77777777" w:rsidR="00A71D79" w:rsidRDefault="00A71D79" w:rsidP="00A71D79">
      <w:pPr>
        <w:spacing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Sredstva osigurana unutar ovog projekta u iznosu od </w:t>
      </w:r>
      <w:r>
        <w:rPr>
          <w:rFonts w:ascii="Times New Roman" w:eastAsia="Times New Roman" w:hAnsi="Times New Roman" w:cs="Times New Roman"/>
          <w:bCs/>
        </w:rPr>
        <w:t xml:space="preserve">446.600,00 </w:t>
      </w:r>
      <w:r>
        <w:rPr>
          <w:rFonts w:ascii="Times New Roman" w:eastAsia="Calibri" w:hAnsi="Times New Roman" w:cs="Times New Roman"/>
        </w:rPr>
        <w:t>kuna</w:t>
      </w:r>
      <w:r>
        <w:rPr>
          <w:rFonts w:ascii="Times New Roman" w:eastAsia="Times New Roman" w:hAnsi="Times New Roman" w:cs="Times New Roman"/>
        </w:rPr>
        <w:t xml:space="preserve"> utrošena su za</w:t>
      </w:r>
      <w:r>
        <w:rPr>
          <w:rFonts w:ascii="Times New Roman" w:eastAsia="Calibri" w:hAnsi="Times New Roman" w:cs="Times New Roman"/>
        </w:rPr>
        <w:t xml:space="preserve"> troškove usluge izrade projektne dokumentacije za ishođenje lokacijskih, odnosno građevinskih dozvola za sanaciju klizišta u naseljima </w:t>
      </w:r>
      <w:proofErr w:type="spellStart"/>
      <w:r>
        <w:rPr>
          <w:rFonts w:ascii="Times New Roman" w:eastAsia="Calibri" w:hAnsi="Times New Roman" w:cs="Times New Roman"/>
        </w:rPr>
        <w:t>Zadobarje</w:t>
      </w:r>
      <w:proofErr w:type="spellEnd"/>
      <w:r>
        <w:rPr>
          <w:rFonts w:ascii="Times New Roman" w:eastAsia="Calibri" w:hAnsi="Times New Roman" w:cs="Times New Roman"/>
        </w:rPr>
        <w:t xml:space="preserve">, Suci, </w:t>
      </w:r>
      <w:proofErr w:type="spellStart"/>
      <w:r>
        <w:rPr>
          <w:rFonts w:ascii="Times New Roman" w:eastAsia="Calibri" w:hAnsi="Times New Roman" w:cs="Times New Roman"/>
        </w:rPr>
        <w:t>Manjerovići</w:t>
      </w:r>
      <w:proofErr w:type="spellEnd"/>
      <w:r>
        <w:rPr>
          <w:rFonts w:ascii="Times New Roman" w:eastAsia="Calibri" w:hAnsi="Times New Roman" w:cs="Times New Roman"/>
        </w:rPr>
        <w:t xml:space="preserve">, Gornji </w:t>
      </w:r>
      <w:proofErr w:type="spellStart"/>
      <w:r>
        <w:rPr>
          <w:rFonts w:ascii="Times New Roman" w:eastAsia="Calibri" w:hAnsi="Times New Roman" w:cs="Times New Roman"/>
        </w:rPr>
        <w:t>Sjeničak</w:t>
      </w:r>
      <w:proofErr w:type="spellEnd"/>
      <w:r>
        <w:rPr>
          <w:rFonts w:ascii="Times New Roman" w:eastAsia="Calibri" w:hAnsi="Times New Roman" w:cs="Times New Roman"/>
        </w:rPr>
        <w:t xml:space="preserve"> i Skakavac. Izrada navedene projektne dokumentacije sufinancira se od strane Hrvatskih voda (50%).</w:t>
      </w:r>
    </w:p>
    <w:bookmarkEnd w:id="5"/>
    <w:p w14:paraId="1D86B219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9. Kapitalni projekt: A03 3002 K300059  Kino Edison</w:t>
      </w:r>
    </w:p>
    <w:p w14:paraId="536B3043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53.050,00 kn</w:t>
      </w:r>
    </w:p>
    <w:p w14:paraId="5227699C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51.875,00 kn</w:t>
      </w:r>
    </w:p>
    <w:p w14:paraId="4D0B5565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97,79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46D7E7B8" w14:textId="77777777" w:rsidR="00A71D79" w:rsidRDefault="00A71D79" w:rsidP="00A71D79">
      <w:pPr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</w:rPr>
        <w:t xml:space="preserve">Unutar ovog kapitalnog projekta koji se odnosi na obnovu zgrade kina (pojedinačno zaštićenog kulturnog dobra) s intervencijama u smislu bolje funkcionalnosti postojeće građevine sa suvremenim potrebama kulturnih sadržaja grada Karlovca, nakon što je prethodno izrađen glavni projekt i ishođena </w:t>
      </w:r>
      <w:r>
        <w:rPr>
          <w:rFonts w:ascii="Times New Roman" w:eastAsia="Times New Roman" w:hAnsi="Times New Roman" w:cs="Times New Roman"/>
        </w:rPr>
        <w:lastRenderedPageBreak/>
        <w:t xml:space="preserve">građevinska dozvola, sredstva u iznosu </w:t>
      </w:r>
      <w:r>
        <w:rPr>
          <w:rFonts w:ascii="Times New Roman" w:eastAsia="Calibri" w:hAnsi="Times New Roman" w:cs="Times New Roman"/>
          <w:lang w:eastAsia="hr-HR"/>
        </w:rPr>
        <w:t>od 51.875,00 kuna uplaćena su za troškove usluge digitalne vizualizacije zgrade.</w:t>
      </w:r>
    </w:p>
    <w:p w14:paraId="63E16A7D" w14:textId="77777777" w:rsidR="00A71D79" w:rsidRDefault="00A71D79" w:rsidP="00A71D79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10. Kapitalni projekt A03 3002 K300060 Sportska dvorana OŠ </w:t>
      </w:r>
      <w:proofErr w:type="spellStart"/>
      <w:r>
        <w:rPr>
          <w:rFonts w:ascii="Times New Roman" w:eastAsia="Times New Roman" w:hAnsi="Times New Roman" w:cs="Times New Roman"/>
          <w:b/>
        </w:rPr>
        <w:t>Mahično</w:t>
      </w:r>
      <w:proofErr w:type="spellEnd"/>
    </w:p>
    <w:p w14:paraId="59BF25C9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724.877,00 kn</w:t>
      </w:r>
    </w:p>
    <w:p w14:paraId="15196AD6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724.875,95 kn</w:t>
      </w:r>
    </w:p>
    <w:p w14:paraId="0B244CEB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100,00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0AA77731" w14:textId="77777777" w:rsidR="00A71D79" w:rsidRDefault="00A71D79" w:rsidP="00A71D7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Sredstva u iznosu od 52.500,00 kuna utrošena su za izradu projektne dokumentacije za ishođenje izmjene i dopune građevinske dozvole (za izgradnju višenamjenske sportske dvorane uz OŠ </w:t>
      </w:r>
      <w:proofErr w:type="spellStart"/>
      <w:r>
        <w:rPr>
          <w:rFonts w:ascii="Times New Roman" w:eastAsia="Calibri" w:hAnsi="Times New Roman" w:cs="Times New Roman"/>
        </w:rPr>
        <w:t>Mahično</w:t>
      </w:r>
      <w:proofErr w:type="spellEnd"/>
      <w:r>
        <w:rPr>
          <w:rFonts w:ascii="Times New Roman" w:eastAsia="Calibri" w:hAnsi="Times New Roman" w:cs="Times New Roman"/>
        </w:rPr>
        <w:t xml:space="preserve">) koja je uvjetovana oformljenjem nove građevinske čestice s priključcima na instalacije, te promjenom lokacije parkirališta, a vezano uz izgradnju dječjeg vrtića </w:t>
      </w:r>
      <w:proofErr w:type="spellStart"/>
      <w:r>
        <w:rPr>
          <w:rFonts w:ascii="Times New Roman" w:eastAsia="Calibri" w:hAnsi="Times New Roman" w:cs="Times New Roman"/>
        </w:rPr>
        <w:t>Mahično</w:t>
      </w:r>
      <w:proofErr w:type="spellEnd"/>
      <w:r>
        <w:rPr>
          <w:rFonts w:ascii="Times New Roman" w:eastAsia="Calibri" w:hAnsi="Times New Roman" w:cs="Times New Roman"/>
        </w:rPr>
        <w:t>.</w:t>
      </w:r>
    </w:p>
    <w:p w14:paraId="55943F88" w14:textId="77777777" w:rsidR="00A71D79" w:rsidRDefault="00A71D79" w:rsidP="00A71D7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Iznos od 25.000,00 kuna utrošen je za radove na uklanjanju postojeće stambene i pomoćne zgrade.</w:t>
      </w:r>
    </w:p>
    <w:p w14:paraId="33562F1B" w14:textId="77777777" w:rsidR="00A71D79" w:rsidRDefault="00A71D79" w:rsidP="00A71D79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Sredstva u iznosu od 647.375,95 kuna utrošena su za radove na prvom dijelu gradnje, odnosno izgradnju UPOV-a (uređaja za pročišćavanje otpadnih voda) na koji će osim Sportske dvorane OŠ </w:t>
      </w:r>
      <w:proofErr w:type="spellStart"/>
      <w:r>
        <w:rPr>
          <w:rFonts w:ascii="Times New Roman" w:eastAsia="Calibri" w:hAnsi="Times New Roman" w:cs="Times New Roman"/>
          <w:bCs/>
        </w:rPr>
        <w:t>Mahično</w:t>
      </w:r>
      <w:proofErr w:type="spellEnd"/>
      <w:r>
        <w:rPr>
          <w:rFonts w:ascii="Times New Roman" w:eastAsia="Calibri" w:hAnsi="Times New Roman" w:cs="Times New Roman"/>
          <w:bCs/>
        </w:rPr>
        <w:t xml:space="preserve"> biti priključeni i OŠ </w:t>
      </w:r>
      <w:proofErr w:type="spellStart"/>
      <w:r>
        <w:rPr>
          <w:rFonts w:ascii="Times New Roman" w:eastAsia="Calibri" w:hAnsi="Times New Roman" w:cs="Times New Roman"/>
          <w:bCs/>
        </w:rPr>
        <w:t>Mahično</w:t>
      </w:r>
      <w:proofErr w:type="spellEnd"/>
      <w:r>
        <w:rPr>
          <w:rFonts w:ascii="Times New Roman" w:eastAsia="Calibri" w:hAnsi="Times New Roman" w:cs="Times New Roman"/>
          <w:bCs/>
        </w:rPr>
        <w:t xml:space="preserve"> i DV </w:t>
      </w:r>
      <w:proofErr w:type="spellStart"/>
      <w:r>
        <w:rPr>
          <w:rFonts w:ascii="Times New Roman" w:eastAsia="Calibri" w:hAnsi="Times New Roman" w:cs="Times New Roman"/>
          <w:bCs/>
        </w:rPr>
        <w:t>Mahično</w:t>
      </w:r>
      <w:proofErr w:type="spellEnd"/>
      <w:r>
        <w:rPr>
          <w:rFonts w:ascii="Times New Roman" w:eastAsia="Calibri" w:hAnsi="Times New Roman" w:cs="Times New Roman"/>
          <w:bCs/>
        </w:rPr>
        <w:t>.</w:t>
      </w:r>
    </w:p>
    <w:p w14:paraId="0C59EB77" w14:textId="77777777" w:rsidR="00A71D79" w:rsidRDefault="00A71D79" w:rsidP="00A71D79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70AAE0BC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11. Kapitalni projekt: A03 3002 K300061 Karlovac II</w:t>
      </w:r>
    </w:p>
    <w:p w14:paraId="667C8873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55.215,00 kn</w:t>
      </w:r>
    </w:p>
    <w:p w14:paraId="528BA33B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55.161,48 kn</w:t>
      </w:r>
    </w:p>
    <w:p w14:paraId="5201E726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>INDEKS: 99,90 %</w:t>
      </w:r>
    </w:p>
    <w:p w14:paraId="2E0D790B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Calibri" w:hAnsi="Times New Roman" w:cs="Times New Roman"/>
        </w:rPr>
        <w:t xml:space="preserve">Sredstva u iznosu od 18.446,45 kuna utrošena su za dovršetak izrade projektne dokumentacije </w:t>
      </w:r>
      <w:r>
        <w:rPr>
          <w:rFonts w:ascii="Times New Roman" w:eastAsia="Calibri" w:hAnsi="Times New Roman" w:cs="Times New Roman"/>
          <w:lang w:eastAsia="hr-HR"/>
        </w:rPr>
        <w:t>komunalne infrastrukture prometnica (</w:t>
      </w:r>
      <w:proofErr w:type="spellStart"/>
      <w:r>
        <w:rPr>
          <w:rFonts w:ascii="Times New Roman" w:eastAsia="Calibri" w:hAnsi="Times New Roman" w:cs="Times New Roman"/>
          <w:lang w:eastAsia="hr-HR"/>
        </w:rPr>
        <w:t>oborinska</w:t>
      </w:r>
      <w:proofErr w:type="spellEnd"/>
      <w:r>
        <w:rPr>
          <w:rFonts w:ascii="Times New Roman" w:eastAsia="Calibri" w:hAnsi="Times New Roman" w:cs="Times New Roman"/>
          <w:lang w:eastAsia="hr-HR"/>
        </w:rPr>
        <w:t xml:space="preserve"> odvodnja, nogostupi, javna rasvjeta i dr.) u kojima se izvodi sanitarna kanalizacija</w:t>
      </w:r>
      <w:r>
        <w:rPr>
          <w:rFonts w:ascii="Times New Roman" w:eastAsia="Times New Roman" w:hAnsi="Times New Roman" w:cs="Times New Roman"/>
          <w:lang w:eastAsia="hr-HR"/>
        </w:rPr>
        <w:t xml:space="preserve"> i vodoopskrba u sklopu</w:t>
      </w:r>
      <w:r>
        <w:rPr>
          <w:rFonts w:ascii="Times New Roman" w:eastAsia="Calibri" w:hAnsi="Times New Roman" w:cs="Times New Roman"/>
          <w:bCs/>
        </w:rPr>
        <w:t xml:space="preserve"> EU- projekta „Izgradnja </w:t>
      </w:r>
      <w:proofErr w:type="spellStart"/>
      <w:r>
        <w:rPr>
          <w:rFonts w:ascii="Times New Roman" w:eastAsia="Calibri" w:hAnsi="Times New Roman" w:cs="Times New Roman"/>
          <w:bCs/>
        </w:rPr>
        <w:t>vodnokomunalne</w:t>
      </w:r>
      <w:proofErr w:type="spellEnd"/>
      <w:r>
        <w:rPr>
          <w:rFonts w:ascii="Times New Roman" w:eastAsia="Calibri" w:hAnsi="Times New Roman" w:cs="Times New Roman"/>
          <w:bCs/>
        </w:rPr>
        <w:t xml:space="preserve"> infrastrukture aglomeracije Karlovac – Duga Resa“ kojeg je nositelj</w:t>
      </w:r>
      <w:r>
        <w:rPr>
          <w:rFonts w:ascii="Times New Roman" w:eastAsia="Times New Roman" w:hAnsi="Times New Roman" w:cs="Times New Roman"/>
          <w:lang w:eastAsia="hr-HR"/>
        </w:rPr>
        <w:t xml:space="preserve"> tvrtka Vodovod i kanalizacija d.o.o. </w:t>
      </w:r>
    </w:p>
    <w:p w14:paraId="55E96579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Iznos od 36.715,03 kuna utrošen je za podmirenje obveza plaćanja vodnog doprinosa radi ishođenja građevinskih dozvola.</w:t>
      </w:r>
    </w:p>
    <w:p w14:paraId="75E6C1EC" w14:textId="77777777" w:rsidR="00A71D79" w:rsidRDefault="00A71D79" w:rsidP="00A71D79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30AA7B50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12.  Kapitalni projekt A03 3002 K300067 Izgradnja pristupne prometnice CGO Babina gora</w:t>
      </w:r>
    </w:p>
    <w:p w14:paraId="17497A37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8E254C3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8.404.631,00 kn</w:t>
      </w:r>
    </w:p>
    <w:p w14:paraId="1DDAB34E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4.782.943,60 kn</w:t>
      </w:r>
    </w:p>
    <w:p w14:paraId="6A1D718E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56,91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069A3399" w14:textId="77777777" w:rsidR="00A71D79" w:rsidRDefault="00A71D79" w:rsidP="00A71D7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eastAsia="hr-HR"/>
        </w:rPr>
        <w:t xml:space="preserve">Temeljem prijave na natječaj za Mjeru 07 „Temeljne usluge i obnova sela u ruralnim područjima“, Gradu Karlovcu odobrena su sredstva iz EU fondova za izgradnju pristupne prometnice Centru za gospodarenje otpadom Babina Gora. U proljeće 2019. godini započeli su i najvećim dijelom dovršeni radovi na </w:t>
      </w:r>
      <w:r>
        <w:rPr>
          <w:rFonts w:ascii="Times New Roman" w:eastAsia="Calibri" w:hAnsi="Times New Roman" w:cs="Times New Roman"/>
        </w:rPr>
        <w:t xml:space="preserve">izgradnji prometnice (u dužini od 1804 m), kao i prateće infrastrukture (nogostup, javna rasvjeta, </w:t>
      </w:r>
      <w:proofErr w:type="spellStart"/>
      <w:r>
        <w:rPr>
          <w:rFonts w:ascii="Times New Roman" w:eastAsia="Calibri" w:hAnsi="Times New Roman" w:cs="Times New Roman"/>
        </w:rPr>
        <w:t>oborinska</w:t>
      </w:r>
      <w:proofErr w:type="spellEnd"/>
      <w:r>
        <w:rPr>
          <w:rFonts w:ascii="Times New Roman" w:eastAsia="Calibri" w:hAnsi="Times New Roman" w:cs="Times New Roman"/>
        </w:rPr>
        <w:t xml:space="preserve"> odvodnja, polaganje TK kabelske kanalizacije u trupu prometnice). Realizirana sredstva u ukupnom iznosu od </w:t>
      </w:r>
      <w:r>
        <w:rPr>
          <w:rFonts w:ascii="Times New Roman" w:eastAsia="Times New Roman" w:hAnsi="Times New Roman" w:cs="Times New Roman"/>
          <w:bCs/>
        </w:rPr>
        <w:t xml:space="preserve">4.782.943,60 </w:t>
      </w:r>
      <w:r>
        <w:rPr>
          <w:rFonts w:ascii="Times New Roman" w:eastAsia="Calibri" w:hAnsi="Times New Roman" w:cs="Times New Roman"/>
        </w:rPr>
        <w:t xml:space="preserve">kuna utrošena su za radove i prateće usluge stručnog nadzora. </w:t>
      </w:r>
    </w:p>
    <w:p w14:paraId="64BA3458" w14:textId="77777777" w:rsidR="00A71D79" w:rsidRDefault="00A71D79" w:rsidP="00A71D7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67703E9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13. Kapitalni projekt: A03 3002 K300065 Izgradnja prometnice Petra </w:t>
      </w:r>
      <w:proofErr w:type="spellStart"/>
      <w:r>
        <w:rPr>
          <w:rFonts w:ascii="Times New Roman" w:eastAsia="Times New Roman" w:hAnsi="Times New Roman" w:cs="Times New Roman"/>
          <w:b/>
        </w:rPr>
        <w:t>Filipca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</w:p>
    <w:p w14:paraId="2EDDE9B9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1.800.000,00 kn</w:t>
      </w:r>
    </w:p>
    <w:p w14:paraId="125C1D26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1.533.027,84 kn</w:t>
      </w:r>
    </w:p>
    <w:p w14:paraId="72D70475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85,17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3DD2EB8C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Sredstva u iznosu od </w:t>
      </w:r>
      <w:r>
        <w:rPr>
          <w:rFonts w:ascii="Times New Roman" w:eastAsia="Times New Roman" w:hAnsi="Times New Roman" w:cs="Times New Roman"/>
          <w:bCs/>
        </w:rPr>
        <w:t xml:space="preserve">1.533.027,84 </w:t>
      </w:r>
      <w:r>
        <w:rPr>
          <w:rFonts w:ascii="Times New Roman" w:eastAsia="Times New Roman" w:hAnsi="Times New Roman" w:cs="Times New Roman"/>
        </w:rPr>
        <w:t xml:space="preserve">kuna utrošena su za radove (uključujući i pripadajuće usluge stručnog nadzora) na izgradnji prometnice Ulica P. </w:t>
      </w:r>
      <w:proofErr w:type="spellStart"/>
      <w:r>
        <w:rPr>
          <w:rFonts w:ascii="Times New Roman" w:eastAsia="Times New Roman" w:hAnsi="Times New Roman" w:cs="Times New Roman"/>
        </w:rPr>
        <w:t>Filipca</w:t>
      </w:r>
      <w:proofErr w:type="spellEnd"/>
      <w:r>
        <w:rPr>
          <w:rFonts w:ascii="Times New Roman" w:eastAsia="Times New Roman" w:hAnsi="Times New Roman" w:cs="Times New Roman"/>
        </w:rPr>
        <w:t xml:space="preserve">. Projekt je obuhvatio rekonstrukciju dvosmjerne prometnice (ukupne širine 6,0 m) te gradnju obostranih nogostupa (širine 1,6 metara), DTK kanalizacije, kanalizacije sa </w:t>
      </w:r>
      <w:proofErr w:type="spellStart"/>
      <w:r>
        <w:rPr>
          <w:rFonts w:ascii="Times New Roman" w:eastAsia="Times New Roman" w:hAnsi="Times New Roman" w:cs="Times New Roman"/>
        </w:rPr>
        <w:t>oborinskom</w:t>
      </w:r>
      <w:proofErr w:type="spellEnd"/>
      <w:r>
        <w:rPr>
          <w:rFonts w:ascii="Times New Roman" w:eastAsia="Times New Roman" w:hAnsi="Times New Roman" w:cs="Times New Roman"/>
        </w:rPr>
        <w:t xml:space="preserve"> odvodnjom, vodovoda i javne rasvjete. Unutar </w:t>
      </w:r>
      <w:r>
        <w:rPr>
          <w:rFonts w:ascii="Times New Roman" w:eastAsia="Times New Roman" w:hAnsi="Times New Roman" w:cs="Times New Roman"/>
        </w:rPr>
        <w:lastRenderedPageBreak/>
        <w:t>prometnice izvedeni su i radovi na rekonstrukciji vodoopskrbnih cjevovoda i hidranata od strane tvrtke Vodovod i kanalizacija d.o.o.</w:t>
      </w:r>
    </w:p>
    <w:p w14:paraId="5FA33B31" w14:textId="77777777" w:rsidR="00A71D79" w:rsidRDefault="00A71D79" w:rsidP="00A71D79">
      <w:pPr>
        <w:pStyle w:val="Odlomakpopisa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14:paraId="14229EC5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14.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Kapitalni projekt: A03 3002 K300072 Uređenje parkirališta i prometnice kralja P. Krešimira IV</w:t>
      </w:r>
    </w:p>
    <w:p w14:paraId="0F31A87D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1.500.000,00 kn</w:t>
      </w:r>
    </w:p>
    <w:p w14:paraId="7F196A5F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1.376.262,27 kn</w:t>
      </w:r>
    </w:p>
    <w:p w14:paraId="0D12A9BD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91,75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20066871" w14:textId="77777777" w:rsidR="00A71D79" w:rsidRDefault="00A71D79" w:rsidP="00A71D7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Osigurana sredstva u iznosu od </w:t>
      </w:r>
      <w:r>
        <w:rPr>
          <w:rFonts w:ascii="Times New Roman" w:eastAsia="Times New Roman" w:hAnsi="Times New Roman" w:cs="Times New Roman"/>
          <w:bCs/>
        </w:rPr>
        <w:t>1.376.262,27</w:t>
      </w:r>
      <w:r>
        <w:rPr>
          <w:rFonts w:ascii="Times New Roman" w:eastAsia="Times New Roman" w:hAnsi="Times New Roman" w:cs="Times New Roman"/>
        </w:rPr>
        <w:t xml:space="preserve"> kuna utrošena su za radove i usluge stručnog nadzora na rekonstrukciji prometnica i gradnji parkirališta sa 70 novih parkirališnih mjesta u Ulici kralja P. Krešimira IV, te na rekonstrukciji postojećeg parkirališta i gradnju novih pješačkih i biciklističkih staza na lijevoj strani Ulice kneza Trpimira. </w:t>
      </w:r>
    </w:p>
    <w:p w14:paraId="30E1740B" w14:textId="77777777" w:rsidR="00A71D79" w:rsidRDefault="00A71D79" w:rsidP="00A71D7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</w:rPr>
      </w:pPr>
    </w:p>
    <w:p w14:paraId="542D9E4A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15. </w:t>
      </w:r>
      <w:bookmarkStart w:id="6" w:name="_Hlk31186537"/>
      <w:r>
        <w:rPr>
          <w:rFonts w:ascii="Times New Roman" w:eastAsia="Times New Roman" w:hAnsi="Times New Roman" w:cs="Times New Roman"/>
          <w:b/>
        </w:rPr>
        <w:t xml:space="preserve">Kapitalni projekt A03 3002 K300075 Izgradnja Dječjeg vrtića </w:t>
      </w:r>
      <w:proofErr w:type="spellStart"/>
      <w:r>
        <w:rPr>
          <w:rFonts w:ascii="Times New Roman" w:eastAsia="Times New Roman" w:hAnsi="Times New Roman" w:cs="Times New Roman"/>
          <w:b/>
        </w:rPr>
        <w:t>Mahično</w:t>
      </w:r>
      <w:proofErr w:type="spellEnd"/>
    </w:p>
    <w:p w14:paraId="751E63FB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EE91FD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5.835.307,00 kn</w:t>
      </w:r>
    </w:p>
    <w:p w14:paraId="40636FDA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1.540.790,08 kn</w:t>
      </w:r>
    </w:p>
    <w:p w14:paraId="41C6C8F9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26,40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bookmarkEnd w:id="6"/>
    <w:p w14:paraId="0218DCF1" w14:textId="77777777" w:rsidR="00A71D79" w:rsidRDefault="00A71D79" w:rsidP="00A71D79">
      <w:pPr>
        <w:spacing w:line="240" w:lineRule="auto"/>
        <w:ind w:left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Radovi na izgradnji </w:t>
      </w:r>
      <w:r>
        <w:rPr>
          <w:rFonts w:ascii="Times New Roman" w:eastAsia="Times New Roman" w:hAnsi="Times New Roman" w:cs="Times New Roman"/>
        </w:rPr>
        <w:t xml:space="preserve">budućeg dječjeg vrtića i jaslica u </w:t>
      </w:r>
      <w:proofErr w:type="spellStart"/>
      <w:r>
        <w:rPr>
          <w:rFonts w:ascii="Times New Roman" w:eastAsia="Times New Roman" w:hAnsi="Times New Roman" w:cs="Times New Roman"/>
        </w:rPr>
        <w:t>Mahičnu</w:t>
      </w:r>
      <w:proofErr w:type="spellEnd"/>
      <w:r>
        <w:rPr>
          <w:rFonts w:ascii="Times New Roman" w:eastAsia="Times New Roman" w:hAnsi="Times New Roman" w:cs="Times New Roman"/>
        </w:rPr>
        <w:t xml:space="preserve"> (predviđene tri odgojno – obrazovne jedinice i prateće prostorije)</w:t>
      </w:r>
      <w:r>
        <w:rPr>
          <w:rFonts w:ascii="Times New Roman" w:eastAsia="Calibri" w:hAnsi="Times New Roman" w:cs="Times New Roman"/>
        </w:rPr>
        <w:t xml:space="preserve"> započeli su u kolovozu 2019., a do kraja  godine izvedeni su radovi na konstrukciji zgrade – temelji, zidovi, podna i stropna ploča te krov, pri čemu ukupna vrijednosti izvedenih radova u 2019. iznosi 1.443.125,03 kuna. Usluga stručnog nadzora iznosila je 17.331,66 kuna, a usluga koordinatora II 11.800,00 kuna. Izrada izvedbenih projekata plaćena je 20.750,00 kuna. Troškovi priključenja na elektroenergetsku distribucijsku mrežu iznosili su 29.531,25 kuna, a troškovi priključenja na sustav javne vodoopskrbe 18.252,14 kuna.</w:t>
      </w:r>
    </w:p>
    <w:p w14:paraId="0EE0ACEC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16. Kapitalni projekt: A03 3002 K300076 Izgradnja mrtvačnice </w:t>
      </w:r>
      <w:proofErr w:type="spellStart"/>
      <w:r>
        <w:rPr>
          <w:rFonts w:ascii="Times New Roman" w:eastAsia="Times New Roman" w:hAnsi="Times New Roman" w:cs="Times New Roman"/>
          <w:b/>
        </w:rPr>
        <w:t>Tušilović</w:t>
      </w:r>
      <w:proofErr w:type="spellEnd"/>
    </w:p>
    <w:p w14:paraId="5C568305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50.000,00 kn</w:t>
      </w:r>
    </w:p>
    <w:p w14:paraId="7DED4AE0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0,00 kn</w:t>
      </w:r>
    </w:p>
    <w:p w14:paraId="135E8171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Cs/>
        </w:rPr>
        <w:t xml:space="preserve">INDEKS: 0,00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2B988E84" w14:textId="77777777" w:rsidR="00A71D79" w:rsidRDefault="00A71D79" w:rsidP="00A71D7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 2019. godini bila su planirana tek inicijalna sredstva za početak gradnje građevine javne namjene - mrtvačnice uz postojeće groblje </w:t>
      </w:r>
      <w:proofErr w:type="spellStart"/>
      <w:r>
        <w:rPr>
          <w:rFonts w:ascii="Times New Roman" w:eastAsia="Times New Roman" w:hAnsi="Times New Roman" w:cs="Times New Roman"/>
        </w:rPr>
        <w:t>Tušilović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t xml:space="preserve"> </w:t>
      </w:r>
      <w:r>
        <w:rPr>
          <w:rFonts w:ascii="Times New Roman" w:hAnsi="Times New Roman" w:cs="Times New Roman"/>
        </w:rPr>
        <w:t xml:space="preserve">Početak postupka javne nabave za odabir izvođača radova pokrenut je u siječnju 2020. godine te će se nakon provedbe istog zaključiti ugovor o izvođenju radova na izgradnji. </w:t>
      </w:r>
    </w:p>
    <w:p w14:paraId="16A015DA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6731301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17. Kapitalni projekt: A03 3002 K300080 „Susret s rijekom“ - šetnica</w:t>
      </w:r>
    </w:p>
    <w:p w14:paraId="57ACD9CA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D2BFEB7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3.529.335,00 kn</w:t>
      </w:r>
    </w:p>
    <w:p w14:paraId="3BD76E46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2.203.713,02 kn</w:t>
      </w:r>
    </w:p>
    <w:p w14:paraId="52AE4B52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62,44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038C651B" w14:textId="77777777" w:rsidR="00A71D79" w:rsidRDefault="00A71D79" w:rsidP="00A71D79">
      <w:pPr>
        <w:spacing w:line="240" w:lineRule="auto"/>
        <w:ind w:left="142"/>
        <w:jc w:val="both"/>
        <w:rPr>
          <w:rFonts w:ascii="Times New Roman" w:eastAsia="Calibri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</w:rPr>
        <w:t xml:space="preserve">Osigurana sredstva u ukupnom iznosu od </w:t>
      </w:r>
      <w:r>
        <w:rPr>
          <w:rFonts w:ascii="Times New Roman" w:eastAsia="Times New Roman" w:hAnsi="Times New Roman" w:cs="Times New Roman"/>
          <w:bCs/>
        </w:rPr>
        <w:t xml:space="preserve">2.203.713,02 </w:t>
      </w:r>
      <w:r>
        <w:rPr>
          <w:rFonts w:ascii="Times New Roman" w:eastAsia="Times New Roman" w:hAnsi="Times New Roman" w:cs="Times New Roman"/>
        </w:rPr>
        <w:t xml:space="preserve">kuna utrošena su za izgradnju šetnice s javnom rasvjetom na desnoj obali Korane i ambijentalnu rasvjetu drvenog mosta. </w:t>
      </w:r>
      <w:r>
        <w:rPr>
          <w:rFonts w:ascii="Times New Roman" w:eastAsia="Calibri" w:hAnsi="Times New Roman" w:cs="Times New Roman"/>
          <w:lang w:eastAsia="hr-HR"/>
        </w:rPr>
        <w:t>Projekt je sastavni dio istoimenog projekta u kojem uz Grad Karlovac sudjeluju gradovi Ogulin i Ozalj i Karlovačka županija te je isti sufinanciran iz fondova EU (85%).</w:t>
      </w:r>
    </w:p>
    <w:p w14:paraId="3C0F67E5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18. Kapitalni projekt: A03 3002 K300082 Izgradnja javne rasvjete u zoni Mala </w:t>
      </w:r>
      <w:proofErr w:type="spellStart"/>
      <w:r>
        <w:rPr>
          <w:rFonts w:ascii="Times New Roman" w:eastAsia="Times New Roman" w:hAnsi="Times New Roman" w:cs="Times New Roman"/>
          <w:b/>
        </w:rPr>
        <w:t>Švarča</w:t>
      </w:r>
      <w:proofErr w:type="spellEnd"/>
    </w:p>
    <w:p w14:paraId="361180AD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882476F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172.000,00 kn</w:t>
      </w:r>
    </w:p>
    <w:p w14:paraId="18FB5E52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162.767,00 kn</w:t>
      </w:r>
    </w:p>
    <w:p w14:paraId="7E5E1FF7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lastRenderedPageBreak/>
        <w:t xml:space="preserve">INDEKS: 94,63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7BFD3F10" w14:textId="77777777" w:rsidR="00A71D79" w:rsidRDefault="00A71D79" w:rsidP="00A71D7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</w:rPr>
        <w:t>Sredstva u iznosu od 10.000,00 kuna utrošena su za izradu</w:t>
      </w:r>
      <w:r>
        <w:rPr>
          <w:rFonts w:ascii="Times New Roman" w:eastAsia="Times New Roman" w:hAnsi="Times New Roman" w:cs="Times New Roman"/>
        </w:rPr>
        <w:t xml:space="preserve"> projektne dokumentacije (geodetske podloge i glavnog projekta) za izgradnju javne rasvjete u poduzetničkoj zoni Mala </w:t>
      </w:r>
      <w:proofErr w:type="spellStart"/>
      <w:r>
        <w:rPr>
          <w:rFonts w:ascii="Times New Roman" w:eastAsia="Times New Roman" w:hAnsi="Times New Roman" w:cs="Times New Roman"/>
        </w:rPr>
        <w:t>Švarča</w:t>
      </w:r>
      <w:proofErr w:type="spellEnd"/>
      <w:r>
        <w:rPr>
          <w:rFonts w:ascii="Times New Roman" w:eastAsia="Times New Roman" w:hAnsi="Times New Roman" w:cs="Times New Roman"/>
        </w:rPr>
        <w:t xml:space="preserve"> (u dužini od 240 m), dok je iznos od 152.767,00 kuna utrošen za radove i uslugu stručnog nadzora na izgradnji javne rasvjete.</w:t>
      </w:r>
    </w:p>
    <w:p w14:paraId="3D693E3A" w14:textId="77777777" w:rsidR="00A71D79" w:rsidRDefault="00A71D79" w:rsidP="00A71D7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 xml:space="preserve"> </w:t>
      </w:r>
    </w:p>
    <w:p w14:paraId="098502D4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19.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Kapitalni projekt A03 3002 K300083 Izgradnja javne rasvjete u Ulici Izidora </w:t>
      </w:r>
      <w:proofErr w:type="spellStart"/>
      <w:r>
        <w:rPr>
          <w:rFonts w:ascii="Times New Roman" w:eastAsia="Times New Roman" w:hAnsi="Times New Roman" w:cs="Times New Roman"/>
          <w:b/>
        </w:rPr>
        <w:t>Kršnjavog</w:t>
      </w:r>
      <w:proofErr w:type="spellEnd"/>
    </w:p>
    <w:p w14:paraId="4ECA24A1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BEC155F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PLANIRANO:172.000,00 kn</w:t>
      </w:r>
    </w:p>
    <w:p w14:paraId="6AFCB207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164.093,75 kn</w:t>
      </w:r>
    </w:p>
    <w:p w14:paraId="7B46B28C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 xml:space="preserve">INDEKS: 95,40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623C9660" w14:textId="77777777" w:rsidR="00A71D79" w:rsidRDefault="00A71D79" w:rsidP="00A71D7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</w:rPr>
        <w:t>Sredstva u iznosu od 10.000,00 kuna utrošena su za izradu</w:t>
      </w:r>
      <w:r>
        <w:rPr>
          <w:rFonts w:ascii="Times New Roman" w:eastAsia="Times New Roman" w:hAnsi="Times New Roman" w:cs="Times New Roman"/>
        </w:rPr>
        <w:t xml:space="preserve"> projektne dokumentacije (geodetske podloge i glavnog projekta) za izgradnju javne rasvjete parkirališta i okoliša garaža u Ulici I. </w:t>
      </w:r>
      <w:proofErr w:type="spellStart"/>
      <w:r>
        <w:rPr>
          <w:rFonts w:ascii="Times New Roman" w:eastAsia="Times New Roman" w:hAnsi="Times New Roman" w:cs="Times New Roman"/>
        </w:rPr>
        <w:t>Kršnjavog</w:t>
      </w:r>
      <w:proofErr w:type="spellEnd"/>
      <w:r>
        <w:rPr>
          <w:rFonts w:ascii="Times New Roman" w:eastAsia="Times New Roman" w:hAnsi="Times New Roman" w:cs="Times New Roman"/>
        </w:rPr>
        <w:t xml:space="preserve"> (iza k.br.1,3,5,7), dok je iznos od 154.093,75 kuna utrošen za radove na samoj izgradnji javne rasvjete.</w:t>
      </w:r>
    </w:p>
    <w:p w14:paraId="4961C1E8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658C3BD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Kapitalni projekt: A03 3002 K300090 Susret s Koranom</w:t>
      </w:r>
    </w:p>
    <w:p w14:paraId="5659F70F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</w:p>
    <w:p w14:paraId="5467ECA4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PLANIRANO: 226.500,00 kn</w:t>
      </w:r>
    </w:p>
    <w:p w14:paraId="31EE2286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OSTVARENO: 211.816,25 kn</w:t>
      </w:r>
    </w:p>
    <w:p w14:paraId="17AF4B72" w14:textId="77777777" w:rsidR="00A71D79" w:rsidRDefault="00A71D79" w:rsidP="00A71D79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Cs/>
        </w:rPr>
        <w:t xml:space="preserve">INDEKS: 93,52 </w:t>
      </w:r>
      <w:r>
        <w:rPr>
          <w:rFonts w:ascii="Times New Roman" w:eastAsia="Times New Roman" w:hAnsi="Times New Roman" w:cs="Times New Roman"/>
          <w:b/>
          <w:bCs/>
        </w:rPr>
        <w:t>%</w:t>
      </w:r>
    </w:p>
    <w:p w14:paraId="3AEE02F2" w14:textId="77777777" w:rsidR="00A71D79" w:rsidRDefault="00A71D79" w:rsidP="00A71D7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  <w:lang w:val="en-US"/>
        </w:rPr>
        <w:t>Osigurana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sredstva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u </w:t>
      </w:r>
      <w:proofErr w:type="spellStart"/>
      <w:r>
        <w:rPr>
          <w:rFonts w:ascii="Times New Roman" w:eastAsia="Calibri" w:hAnsi="Times New Roman" w:cs="Times New Roman"/>
          <w:lang w:val="en-US"/>
        </w:rPr>
        <w:t>iznosu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lang w:val="en-US"/>
        </w:rPr>
        <w:t>od</w:t>
      </w:r>
      <w:proofErr w:type="gramEnd"/>
      <w:r>
        <w:rPr>
          <w:rFonts w:ascii="Times New Roman" w:eastAsia="Calibri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  <w:bCs/>
        </w:rPr>
        <w:t xml:space="preserve">211.816,25 </w:t>
      </w:r>
      <w:proofErr w:type="spellStart"/>
      <w:r>
        <w:rPr>
          <w:rFonts w:ascii="Times New Roman" w:eastAsia="Calibri" w:hAnsi="Times New Roman" w:cs="Times New Roman"/>
          <w:lang w:val="en-US"/>
        </w:rPr>
        <w:t>kuna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utrošena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su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za </w:t>
      </w:r>
      <w:proofErr w:type="spellStart"/>
      <w:r>
        <w:rPr>
          <w:rFonts w:ascii="Times New Roman" w:eastAsia="Calibri" w:hAnsi="Times New Roman" w:cs="Times New Roman"/>
          <w:lang w:val="en-US"/>
        </w:rPr>
        <w:t>dogradnja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elektro </w:t>
      </w:r>
      <w:proofErr w:type="spellStart"/>
      <w:r>
        <w:rPr>
          <w:rFonts w:ascii="Times New Roman" w:eastAsia="Calibri" w:hAnsi="Times New Roman" w:cs="Times New Roman"/>
          <w:lang w:val="en-US"/>
        </w:rPr>
        <w:t>i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internetske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instalacije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u </w:t>
      </w:r>
      <w:proofErr w:type="spellStart"/>
      <w:r>
        <w:rPr>
          <w:rFonts w:ascii="Times New Roman" w:eastAsia="Calibri" w:hAnsi="Times New Roman" w:cs="Times New Roman"/>
          <w:lang w:val="en-US"/>
        </w:rPr>
        <w:t>samom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tijelu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šetnice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r>
        <w:rPr>
          <w:rFonts w:ascii="Times New Roman" w:eastAsia="Calibri" w:hAnsi="Times New Roman" w:cs="Times New Roman"/>
        </w:rPr>
        <w:t>na desnoj obali rijeke Korane u turističko-sportsko-rekreacijskoj zoni grada Karlovca, kao i za</w:t>
      </w:r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rušenje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opasnih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stabala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uz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šetnicu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te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kupnju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dva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kompleta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naočala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za “</w:t>
      </w:r>
      <w:proofErr w:type="spellStart"/>
      <w:r>
        <w:rPr>
          <w:rFonts w:ascii="Times New Roman" w:eastAsia="Calibri" w:hAnsi="Times New Roman" w:cs="Times New Roman"/>
          <w:lang w:val="en-US"/>
        </w:rPr>
        <w:t>proširenu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stvarnost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” </w:t>
      </w:r>
      <w:proofErr w:type="spellStart"/>
      <w:r>
        <w:rPr>
          <w:rFonts w:ascii="Times New Roman" w:eastAsia="Calibri" w:hAnsi="Times New Roman" w:cs="Times New Roman"/>
          <w:lang w:val="en-US"/>
        </w:rPr>
        <w:t>koji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se </w:t>
      </w:r>
      <w:proofErr w:type="spellStart"/>
      <w:r>
        <w:rPr>
          <w:rFonts w:ascii="Times New Roman" w:eastAsia="Calibri" w:hAnsi="Times New Roman" w:cs="Times New Roman"/>
          <w:lang w:val="en-US"/>
        </w:rPr>
        <w:t>mogu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koristiti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na</w:t>
      </w:r>
      <w:proofErr w:type="spellEnd"/>
      <w:r>
        <w:rPr>
          <w:rFonts w:ascii="Times New Roman" w:eastAsia="Calibri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val="en-US"/>
        </w:rPr>
        <w:t>otvorenom</w:t>
      </w:r>
      <w:proofErr w:type="spellEnd"/>
      <w:r>
        <w:rPr>
          <w:rFonts w:ascii="Times New Roman" w:eastAsia="Calibri" w:hAnsi="Times New Roman" w:cs="Times New Roman"/>
          <w:lang w:val="en-US"/>
        </w:rPr>
        <w:t>.</w:t>
      </w:r>
      <w:r>
        <w:rPr>
          <w:rFonts w:ascii="Times New Roman" w:eastAsia="Calibri" w:hAnsi="Times New Roman" w:cs="Times New Roman"/>
        </w:rPr>
        <w:t xml:space="preserve"> Projekt je sufinanciran sredstvima Ministarstva turizma iz Programa razvoja javne turističke infrastrukture u 2019. godini.</w:t>
      </w:r>
    </w:p>
    <w:p w14:paraId="57F3D009" w14:textId="77777777" w:rsidR="00A71D79" w:rsidRDefault="00A71D79" w:rsidP="00A71D7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F80C61B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Rekapitulacija rashoda Programa gradnje objekata i uređaja komunalne i druge infrastrukture u 2019. godini.</w:t>
      </w:r>
    </w:p>
    <w:p w14:paraId="4A3CD5AC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FF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3277"/>
        <w:gridCol w:w="2234"/>
        <w:gridCol w:w="1876"/>
        <w:gridCol w:w="1242"/>
      </w:tblGrid>
      <w:tr w:rsidR="00A71D79" w14:paraId="1028D7A1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F57D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7342" w14:textId="77777777" w:rsidR="00A71D79" w:rsidRDefault="00A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RASHOD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8351" w14:textId="77777777" w:rsidR="00A71D79" w:rsidRDefault="00A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PLANIRANO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9A2F" w14:textId="77777777" w:rsidR="00A71D79" w:rsidRDefault="00A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OSTVARENO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DC28" w14:textId="77777777" w:rsidR="00A71D79" w:rsidRDefault="00A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INDEKS</w:t>
            </w:r>
          </w:p>
        </w:tc>
      </w:tr>
      <w:tr w:rsidR="00A71D79" w14:paraId="288B4D38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00F3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2C5E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Uređenje i izgradnja prometnica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CD92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4.955.791,00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0F18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4.932.009,89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AFEA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99,52 %</w:t>
            </w:r>
          </w:p>
        </w:tc>
      </w:tr>
      <w:tr w:rsidR="00A71D79" w14:paraId="7C457AA0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3371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1E37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Radićeva ulica – rekonstrukcija i uređenje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BE53F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300.000,00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67463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166.564,39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ACEA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55,52 %</w:t>
            </w:r>
          </w:p>
        </w:tc>
      </w:tr>
      <w:tr w:rsidR="00A71D79" w14:paraId="4954A67D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E4271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9555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Izgradnja groblja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C521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717.000,00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685D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514.923,24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3AEC6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71,82 %</w:t>
            </w:r>
          </w:p>
        </w:tc>
      </w:tr>
      <w:tr w:rsidR="00A71D79" w14:paraId="2BFD429F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EAF7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F29B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Odvodnja grada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D4DD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950.000,00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EF0BD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931.212,96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3CF4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98,02 %</w:t>
            </w:r>
          </w:p>
        </w:tc>
      </w:tr>
      <w:tr w:rsidR="00A71D79" w14:paraId="68D9E347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8968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124BD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Projekt sanacije pothodnika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24DA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1.208.844,00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8FE5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933.245,95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0FB9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77,20 %</w:t>
            </w:r>
          </w:p>
        </w:tc>
      </w:tr>
      <w:tr w:rsidR="00A71D79" w14:paraId="2CA717C0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080B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3B06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Izrada projektne dokumentacije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5BC0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2.624.750,00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BB748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2.208.620,49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1986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84,15 %</w:t>
            </w:r>
          </w:p>
        </w:tc>
      </w:tr>
      <w:tr w:rsidR="00A71D79" w14:paraId="23605CEC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F426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0FA6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Rekonstrukcija Dječjeg vrtića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Grabrik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35D6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21.088.596,00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8271C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21.044.480,55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4B3D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99,79 %</w:t>
            </w:r>
          </w:p>
        </w:tc>
      </w:tr>
      <w:tr w:rsidR="00A71D79" w14:paraId="53539EEA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8394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A74C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Sanacija klizišta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E2FA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540.000,00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77EE3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446.600,00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BC439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82,70 %</w:t>
            </w:r>
          </w:p>
        </w:tc>
      </w:tr>
      <w:tr w:rsidR="00A71D79" w14:paraId="698E7B1E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598A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BD781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Kino Edison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3792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53.050,00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AF5B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51.875,00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35AA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97,79 %</w:t>
            </w:r>
          </w:p>
        </w:tc>
      </w:tr>
      <w:tr w:rsidR="00A71D79" w14:paraId="7B69A6AB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2F3A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8B2D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Sportska dvorana OŠ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Mahično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25A7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724.877,00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2527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724.875,95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0675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100 %</w:t>
            </w:r>
          </w:p>
        </w:tc>
      </w:tr>
      <w:tr w:rsidR="00A71D79" w14:paraId="3150694B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EB2E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11.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9FD54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Karlovac II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87382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55.215,00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FC98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55.161,48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402A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99,90 %</w:t>
            </w:r>
          </w:p>
        </w:tc>
      </w:tr>
      <w:tr w:rsidR="00A71D79" w14:paraId="1EEAFA6F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3A82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58C61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Izgradnja pristupne prometnice CGO Babina gora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4884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8.404.631,00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E3B8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4.782.943,60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DD5AB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56,91 %</w:t>
            </w:r>
          </w:p>
        </w:tc>
      </w:tr>
      <w:tr w:rsidR="00A71D79" w14:paraId="3A838B24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2AB9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D01B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Izgradnja prometnice Petra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Filipca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94791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1.800.000,00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6284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1.533.027,84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1775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85,17 %</w:t>
            </w:r>
          </w:p>
        </w:tc>
      </w:tr>
      <w:tr w:rsidR="00A71D79" w14:paraId="4AF3FE39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C149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D0C39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Uređenje parkirališta i prometnice kralja P. Krešimira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C676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1.500.000,00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A251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1.376.262,27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C43B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91,75 %</w:t>
            </w:r>
          </w:p>
        </w:tc>
      </w:tr>
      <w:tr w:rsidR="00A71D79" w14:paraId="27493F98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CB50A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FC6E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Izgradnja Dječjeg vrtića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Mahično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B97D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5.835.307,00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9CCB8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1.540.790,08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FA6A8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26,40 %</w:t>
            </w:r>
          </w:p>
        </w:tc>
      </w:tr>
      <w:tr w:rsidR="00A71D79" w14:paraId="57C75628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656A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5A04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Izgradnja mrtvačnice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Tušilović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E225F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50.000,00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64F6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1207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0,00 %</w:t>
            </w:r>
          </w:p>
        </w:tc>
      </w:tr>
      <w:tr w:rsidR="00A71D79" w14:paraId="5AB4BF89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1E8A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5E15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„Susret s rijekom“ - šetnica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568D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3.529.335,00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09B4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2.203.713,02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3E37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62,44 %</w:t>
            </w:r>
          </w:p>
        </w:tc>
      </w:tr>
      <w:tr w:rsidR="00A71D79" w14:paraId="7847B720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D8C3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CA38F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Izgradnja javne rasvjete u zoni Mala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Švarča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5BF2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172.000,00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3931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162.767,00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E464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94,63 %</w:t>
            </w:r>
          </w:p>
        </w:tc>
      </w:tr>
      <w:tr w:rsidR="00A71D79" w14:paraId="0A18D501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4EEB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19.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76CD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Izgradnja javne rasvjete u Ulici Izidora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Kršnjavog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3977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172.000,00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85D66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164.093,75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0F39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95,40 %</w:t>
            </w:r>
          </w:p>
        </w:tc>
      </w:tr>
      <w:tr w:rsidR="00A71D79" w14:paraId="111B182B" w14:textId="77777777" w:rsidTr="00A71D7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2BED" w14:textId="77777777" w:rsidR="00A71D79" w:rsidRDefault="00A71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1584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Susret s Koranom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2A84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226.500,00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BE152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211.816,25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FEFB0" w14:textId="77777777" w:rsidR="00A71D79" w:rsidRDefault="00A71D7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93,52 %</w:t>
            </w:r>
          </w:p>
        </w:tc>
      </w:tr>
      <w:tr w:rsidR="00A71D79" w14:paraId="1D8E0F29" w14:textId="77777777" w:rsidTr="00A71D79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77AEC4E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  <w:p w14:paraId="21C85F81" w14:textId="77777777" w:rsidR="00A71D79" w:rsidRDefault="00A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U K U P N O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F04924F" w14:textId="77777777" w:rsidR="00A71D79" w:rsidRDefault="00A71D7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54.907.896,00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D6DAE41" w14:textId="77777777" w:rsidR="00A71D79" w:rsidRDefault="00A71D79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43.984.983,71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3C2A704" w14:textId="77777777" w:rsidR="00A71D79" w:rsidRDefault="00A71D79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80,11 %</w:t>
            </w:r>
          </w:p>
        </w:tc>
      </w:tr>
    </w:tbl>
    <w:p w14:paraId="6DE84F0A" w14:textId="77777777" w:rsidR="00A71D79" w:rsidRDefault="00A71D79" w:rsidP="00A71D79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p w14:paraId="042D26DA" w14:textId="77777777" w:rsidR="00A71D79" w:rsidRDefault="00A71D79" w:rsidP="00A71D79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p w14:paraId="5338222E" w14:textId="77777777" w:rsidR="00A71D79" w:rsidRDefault="00A71D79" w:rsidP="00A71D7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B842643" w14:textId="77777777" w:rsidR="00A71D79" w:rsidRDefault="00A71D79" w:rsidP="00A71D79">
      <w:pPr>
        <w:spacing w:after="0" w:line="240" w:lineRule="auto"/>
        <w:rPr>
          <w:rFonts w:ascii="Times New Roman" w:eastAsia="Times New Roman" w:hAnsi="Times New Roman" w:cs="Times New Roman"/>
          <w:b/>
          <w:vanish/>
        </w:rPr>
      </w:pPr>
    </w:p>
    <w:p w14:paraId="07BCB33B" w14:textId="77777777" w:rsidR="00A71D79" w:rsidRDefault="00A71D79" w:rsidP="00A71D79">
      <w:pPr>
        <w:spacing w:after="0" w:line="240" w:lineRule="auto"/>
        <w:rPr>
          <w:rFonts w:ascii="Times New Roman" w:eastAsia="Times New Roman" w:hAnsi="Times New Roman" w:cs="Times New Roman"/>
          <w:b/>
          <w:vanish/>
        </w:rPr>
      </w:pPr>
    </w:p>
    <w:p w14:paraId="6D349E92" w14:textId="77777777" w:rsidR="00A71D79" w:rsidRDefault="00A71D79" w:rsidP="00A71D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16B43377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Radovi i usluge iz ovog Programa realizirani u ukupnom iznosu od </w:t>
      </w:r>
      <w:r>
        <w:rPr>
          <w:rFonts w:ascii="Times New Roman" w:eastAsia="Times New Roman" w:hAnsi="Times New Roman" w:cs="Times New Roman"/>
          <w:bCs/>
          <w:color w:val="000000"/>
        </w:rPr>
        <w:t>43.984.983,71</w:t>
      </w:r>
      <w:r>
        <w:rPr>
          <w:rFonts w:ascii="Times New Roman" w:eastAsia="Times New Roman" w:hAnsi="Times New Roman" w:cs="Times New Roman"/>
        </w:rPr>
        <w:t xml:space="preserve"> kuna (80,11 %), financirani su iz sljedećih izvora:</w:t>
      </w:r>
    </w:p>
    <w:p w14:paraId="1A27096A" w14:textId="77777777" w:rsidR="00A71D79" w:rsidRDefault="00A71D79" w:rsidP="00A71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6A0EF49" w14:textId="77777777" w:rsidR="00A71D79" w:rsidRDefault="00A71D79" w:rsidP="00A71D7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               </w:t>
      </w:r>
    </w:p>
    <w:tbl>
      <w:tblPr>
        <w:tblpPr w:leftFromText="180" w:rightFromText="180" w:bottomFromText="200" w:vertAnchor="text" w:horzAnchor="margin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00" w:firstRow="0" w:lastRow="0" w:firstColumn="0" w:lastColumn="1" w:noHBand="0" w:noVBand="1"/>
      </w:tblPr>
      <w:tblGrid>
        <w:gridCol w:w="817"/>
        <w:gridCol w:w="3402"/>
        <w:gridCol w:w="2268"/>
        <w:gridCol w:w="2552"/>
      </w:tblGrid>
      <w:tr w:rsidR="00A71D79" w14:paraId="78A093F2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C42C" w14:textId="77777777" w:rsidR="00A71D79" w:rsidRDefault="00A71D79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AA11B" w14:textId="77777777" w:rsidR="00A71D79" w:rsidRDefault="00A71D7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PRIHOD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34979" w14:textId="77777777" w:rsidR="00A71D79" w:rsidRDefault="00A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PLANIRANO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776F" w14:textId="77777777" w:rsidR="00A71D79" w:rsidRDefault="00A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OSTVARENO</w:t>
            </w:r>
          </w:p>
        </w:tc>
      </w:tr>
      <w:tr w:rsidR="00A71D79" w14:paraId="4D7588DC" w14:textId="77777777" w:rsidTr="00A71D79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5894B7" w14:textId="77777777" w:rsidR="00A71D79" w:rsidRDefault="00A71D79" w:rsidP="00A71D79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4DF63D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C601F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7.026.313,00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5690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4.923.444,72</w:t>
            </w:r>
          </w:p>
        </w:tc>
      </w:tr>
      <w:tr w:rsidR="00A71D79" w14:paraId="3315E02D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42C1" w14:textId="77777777" w:rsidR="00A71D79" w:rsidRDefault="00A71D79" w:rsidP="00A71D79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AFFE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Višak prihoda iz prethodne godine – opći prihodi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80DB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2.036.584,00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D4CBE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1.678.915,79</w:t>
            </w:r>
          </w:p>
        </w:tc>
      </w:tr>
      <w:tr w:rsidR="00A71D79" w14:paraId="4CFF29F0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5FF4D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602ED3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Višak prihoda iz prethodne godine – komunalni doprinos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262D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1.384.714,00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57CE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1.384.713,98</w:t>
            </w:r>
          </w:p>
        </w:tc>
      </w:tr>
      <w:tr w:rsidR="00A71D79" w14:paraId="6D45E546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8CD8D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939C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850A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2.000.000,00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DA168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2.115.112,67</w:t>
            </w:r>
          </w:p>
        </w:tc>
      </w:tr>
      <w:tr w:rsidR="00A71D79" w14:paraId="5CC92B5F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AE1C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192F6E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Komunalna naknada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5ED5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1.484.750,00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0358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1.263.248,24</w:t>
            </w:r>
          </w:p>
        </w:tc>
      </w:tr>
      <w:tr w:rsidR="00A71D79" w14:paraId="33AF1252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1C4A3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3174FB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Prihodi za posebne namjene - ostalo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C43B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370.000,00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FFCC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370.000,00</w:t>
            </w:r>
          </w:p>
        </w:tc>
      </w:tr>
      <w:tr w:rsidR="00A71D79" w14:paraId="5B8DE2A1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AC21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FE4DBE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Naknada za koncesije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7778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23C5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100.000,00</w:t>
            </w:r>
          </w:p>
        </w:tc>
      </w:tr>
      <w:tr w:rsidR="00A71D79" w14:paraId="0B914EB8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3C1ED1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771A15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Doprinos za šume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306FAC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850.000,00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DD5E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948.422,00</w:t>
            </w:r>
          </w:p>
        </w:tc>
      </w:tr>
      <w:tr w:rsidR="00A71D79" w14:paraId="35754E19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AE13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37408D1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Pomoći od ostalih subjekata unutar općeg proračuna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DB59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3.348.105,00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59942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2.799.616,41</w:t>
            </w:r>
          </w:p>
        </w:tc>
      </w:tr>
      <w:tr w:rsidR="00A71D79" w14:paraId="6A3B792B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1D5BE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B1D0DD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Pomoći temeljem prijenosa sredstava EU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6650F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14.673.907,00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C1D3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6.952.764,22</w:t>
            </w:r>
          </w:p>
        </w:tc>
      </w:tr>
      <w:tr w:rsidR="00A71D79" w14:paraId="2AF31805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4556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7049821" w14:textId="77777777" w:rsidR="00A71D79" w:rsidRDefault="00A71D7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Pomoći iz državnog proračuna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D2A6B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1.072.427,00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0B16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959.497,93</w:t>
            </w:r>
          </w:p>
        </w:tc>
      </w:tr>
      <w:tr w:rsidR="00A71D79" w14:paraId="70F8C931" w14:textId="77777777" w:rsidTr="00A71D79">
        <w:trPr>
          <w:trHeight w:val="1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472A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CFFDD0" w14:textId="77777777" w:rsidR="00A71D79" w:rsidRDefault="00A71D7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Pomoći iz županijskog proračuna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C916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180.000,00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377F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180.000,00</w:t>
            </w:r>
          </w:p>
        </w:tc>
      </w:tr>
      <w:tr w:rsidR="00A71D79" w14:paraId="3F17C1A1" w14:textId="77777777" w:rsidTr="00A71D79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6A3" w14:textId="77777777" w:rsidR="00A71D79" w:rsidRDefault="00A71D7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476C2D" w14:textId="77777777" w:rsidR="00A71D79" w:rsidRDefault="00A71D7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Primici od zaduživanja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DE6B1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19.103.596,00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072B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19.103.595,68</w:t>
            </w:r>
          </w:p>
        </w:tc>
      </w:tr>
      <w:tr w:rsidR="00A71D79" w14:paraId="63138041" w14:textId="77777777" w:rsidTr="00A71D79">
        <w:trPr>
          <w:trHeight w:val="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27F" w14:textId="77777777" w:rsidR="00A71D79" w:rsidRDefault="00A71D79" w:rsidP="00A71D79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740FEC" w14:textId="77777777" w:rsidR="00A71D79" w:rsidRDefault="00A71D7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Spomenička renta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8389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9FE75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2.882,00</w:t>
            </w:r>
          </w:p>
        </w:tc>
      </w:tr>
      <w:tr w:rsidR="00A71D79" w14:paraId="58D67CF2" w14:textId="77777777" w:rsidTr="00A71D79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2ED4" w14:textId="77777777" w:rsidR="00A71D79" w:rsidRDefault="00A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0D6678" w14:textId="77777777" w:rsidR="00A71D79" w:rsidRDefault="00A71D7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Višak prihoda iz prethodne godine – spomenička renta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A8FE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200.000,00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CFE0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163.682,38</w:t>
            </w:r>
          </w:p>
        </w:tc>
      </w:tr>
      <w:tr w:rsidR="00A71D79" w14:paraId="2742C777" w14:textId="77777777" w:rsidTr="00A71D79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2F13" w14:textId="77777777" w:rsidR="00A71D79" w:rsidRDefault="00A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0EB99A" w14:textId="77777777" w:rsidR="00A71D79" w:rsidRDefault="00A71D7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lang w:eastAsia="hr-HR"/>
              </w:rPr>
              <w:t>Pomoći iz inozemstva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30A6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900.000,00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12C5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961.587,68</w:t>
            </w:r>
          </w:p>
        </w:tc>
      </w:tr>
      <w:tr w:rsidR="00A71D79" w14:paraId="0BBFF3DE" w14:textId="77777777" w:rsidTr="00A71D79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F28A" w14:textId="77777777" w:rsidR="00A71D79" w:rsidRDefault="00A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677336" w14:textId="77777777" w:rsidR="00A71D79" w:rsidRDefault="00A71D7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Prihodi od decentralizirane funkcije - OŠ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9CF5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77.500,00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41A4" w14:textId="77777777" w:rsidR="00A71D79" w:rsidRDefault="00A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77.500,00</w:t>
            </w:r>
          </w:p>
        </w:tc>
      </w:tr>
      <w:tr w:rsidR="00A71D79" w14:paraId="65498339" w14:textId="77777777" w:rsidTr="00A71D7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5DFB4378" w14:textId="77777777" w:rsidR="00A71D79" w:rsidRDefault="00A71D79">
            <w:pPr>
              <w:spacing w:before="2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B5838CD" w14:textId="77777777" w:rsidR="00A71D79" w:rsidRDefault="00A71D79">
            <w:pPr>
              <w:spacing w:before="240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U K U P N 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5287BAA8" w14:textId="77777777" w:rsidR="00A71D79" w:rsidRDefault="00A71D79">
            <w:pPr>
              <w:spacing w:before="24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54.907.896,00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3C10A2FC" w14:textId="77777777" w:rsidR="00A71D79" w:rsidRDefault="00A71D7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    43.984.983,71</w:t>
            </w:r>
          </w:p>
        </w:tc>
      </w:tr>
    </w:tbl>
    <w:p w14:paraId="503C0E34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AF9BB55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</w:t>
      </w:r>
    </w:p>
    <w:p w14:paraId="49946892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Pročelnica Upravnog odjela za</w:t>
      </w:r>
    </w:p>
    <w:p w14:paraId="5D7C87D2" w14:textId="77777777" w:rsidR="00A71D79" w:rsidRDefault="00A71D79" w:rsidP="00A71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prostorno uređenje, gradnju i zaštitu okoliša</w:t>
      </w:r>
    </w:p>
    <w:p w14:paraId="0D737AE1" w14:textId="77777777" w:rsidR="00A71D79" w:rsidRDefault="00A71D79" w:rsidP="00A71D7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b/>
        </w:rPr>
        <w:t xml:space="preserve">  </w:t>
      </w:r>
    </w:p>
    <w:p w14:paraId="67AD6C69" w14:textId="223DB952" w:rsidR="00A71D79" w:rsidRPr="00C46843" w:rsidRDefault="00A71D79" w:rsidP="00A71D79">
      <w:pPr>
        <w:overflowPunct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b/>
        </w:rPr>
        <w:t>dr.sc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. Ana Hranilović </w:t>
      </w:r>
      <w:proofErr w:type="spellStart"/>
      <w:r>
        <w:rPr>
          <w:rFonts w:ascii="Times New Roman" w:eastAsia="Times New Roman" w:hAnsi="Times New Roman" w:cs="Times New Roman"/>
          <w:b/>
        </w:rPr>
        <w:t>Trubić</w:t>
      </w:r>
      <w:proofErr w:type="spellEnd"/>
      <w:r>
        <w:rPr>
          <w:rFonts w:ascii="Times New Roman" w:eastAsia="Times New Roman" w:hAnsi="Times New Roman" w:cs="Times New Roman"/>
          <w:b/>
        </w:rPr>
        <w:t>, dipl.ing.građ</w:t>
      </w:r>
      <w:bookmarkStart w:id="7" w:name="_GoBack"/>
      <w:bookmarkEnd w:id="7"/>
    </w:p>
    <w:sectPr w:rsidR="00A71D79" w:rsidRPr="00C46843" w:rsidSect="00763CA1">
      <w:footerReference w:type="first" r:id="rId16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498906" w14:textId="77777777" w:rsidR="007747A6" w:rsidRDefault="007747A6" w:rsidP="00883CD4">
      <w:pPr>
        <w:spacing w:after="0" w:line="240" w:lineRule="auto"/>
      </w:pPr>
      <w:r>
        <w:separator/>
      </w:r>
    </w:p>
  </w:endnote>
  <w:endnote w:type="continuationSeparator" w:id="0">
    <w:p w14:paraId="3CBAD0F5" w14:textId="77777777" w:rsidR="007747A6" w:rsidRDefault="007747A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C0FBB" w14:textId="77777777" w:rsidR="007747A6" w:rsidRDefault="007747A6" w:rsidP="00883CD4">
      <w:pPr>
        <w:spacing w:after="0" w:line="240" w:lineRule="auto"/>
      </w:pPr>
      <w:r>
        <w:separator/>
      </w:r>
    </w:p>
  </w:footnote>
  <w:footnote w:type="continuationSeparator" w:id="0">
    <w:p w14:paraId="0151F4C8" w14:textId="77777777" w:rsidR="007747A6" w:rsidRDefault="007747A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241AE"/>
    <w:multiLevelType w:val="hybridMultilevel"/>
    <w:tmpl w:val="025CFE52"/>
    <w:lvl w:ilvl="0" w:tplc="0E22974C">
      <w:start w:val="1"/>
      <w:numFmt w:val="bullet"/>
      <w:lvlText w:val=""/>
      <w:lvlJc w:val="left"/>
      <w:pPr>
        <w:ind w:left="-185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53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25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197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269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41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13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485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5575" w:hanging="360"/>
      </w:pPr>
      <w:rPr>
        <w:rFonts w:ascii="Wingdings" w:hAnsi="Wingdings" w:hint="default"/>
      </w:rPr>
    </w:lvl>
  </w:abstractNum>
  <w:abstractNum w:abstractNumId="3">
    <w:nsid w:val="33BC71C3"/>
    <w:multiLevelType w:val="hybridMultilevel"/>
    <w:tmpl w:val="EF60BD50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6D621A84"/>
    <w:multiLevelType w:val="hybridMultilevel"/>
    <w:tmpl w:val="9C20090E"/>
    <w:lvl w:ilvl="0" w:tplc="BB60CF7A">
      <w:start w:val="1"/>
      <w:numFmt w:val="decimal"/>
      <w:lvlText w:val="%1."/>
      <w:lvlJc w:val="left"/>
      <w:pPr>
        <w:ind w:left="4897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E3246F5"/>
    <w:multiLevelType w:val="hybridMultilevel"/>
    <w:tmpl w:val="F8F0D726"/>
    <w:lvl w:ilvl="0" w:tplc="9CBECD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14D40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08E1"/>
    <w:rsid w:val="00072144"/>
    <w:rsid w:val="00072A36"/>
    <w:rsid w:val="00075BF2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5D9"/>
    <w:rsid w:val="000A1A03"/>
    <w:rsid w:val="000A55D2"/>
    <w:rsid w:val="000A60AB"/>
    <w:rsid w:val="000A62DF"/>
    <w:rsid w:val="000A71D3"/>
    <w:rsid w:val="000B1C5B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832"/>
    <w:rsid w:val="00101A48"/>
    <w:rsid w:val="0010362B"/>
    <w:rsid w:val="00104235"/>
    <w:rsid w:val="00113F1C"/>
    <w:rsid w:val="00115AD4"/>
    <w:rsid w:val="0011603D"/>
    <w:rsid w:val="00120C6E"/>
    <w:rsid w:val="0012246E"/>
    <w:rsid w:val="00124F7C"/>
    <w:rsid w:val="00132DA5"/>
    <w:rsid w:val="00134DB5"/>
    <w:rsid w:val="0013702A"/>
    <w:rsid w:val="001418B7"/>
    <w:rsid w:val="00142A63"/>
    <w:rsid w:val="0014369C"/>
    <w:rsid w:val="00143CCB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41B8"/>
    <w:rsid w:val="001C3CEB"/>
    <w:rsid w:val="001C5A5C"/>
    <w:rsid w:val="001C5E26"/>
    <w:rsid w:val="001C6E34"/>
    <w:rsid w:val="001C7EDE"/>
    <w:rsid w:val="001D136B"/>
    <w:rsid w:val="001D1F3B"/>
    <w:rsid w:val="001D2674"/>
    <w:rsid w:val="001D3D27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17A9C"/>
    <w:rsid w:val="002225BC"/>
    <w:rsid w:val="0022298D"/>
    <w:rsid w:val="00223637"/>
    <w:rsid w:val="00223F2D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0FF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C6FDE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611F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72F8A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1426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0882"/>
    <w:rsid w:val="004A2F5A"/>
    <w:rsid w:val="004A7F42"/>
    <w:rsid w:val="004B047A"/>
    <w:rsid w:val="004B133F"/>
    <w:rsid w:val="004B1E3C"/>
    <w:rsid w:val="004C1336"/>
    <w:rsid w:val="004C4FFA"/>
    <w:rsid w:val="004C60C7"/>
    <w:rsid w:val="004C619B"/>
    <w:rsid w:val="004C746F"/>
    <w:rsid w:val="004D11F3"/>
    <w:rsid w:val="004D1971"/>
    <w:rsid w:val="004D3160"/>
    <w:rsid w:val="004D438D"/>
    <w:rsid w:val="004D4A2E"/>
    <w:rsid w:val="004D4F2B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6774"/>
    <w:rsid w:val="004F73C6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EFB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458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09C7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3B15"/>
    <w:rsid w:val="00684A05"/>
    <w:rsid w:val="00692835"/>
    <w:rsid w:val="006929E4"/>
    <w:rsid w:val="00692C73"/>
    <w:rsid w:val="0069326C"/>
    <w:rsid w:val="006933F4"/>
    <w:rsid w:val="00695BEE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0E6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E7BE8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6F7E7B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47A6"/>
    <w:rsid w:val="0077595E"/>
    <w:rsid w:val="00775E61"/>
    <w:rsid w:val="00777569"/>
    <w:rsid w:val="00780338"/>
    <w:rsid w:val="00783488"/>
    <w:rsid w:val="00783A4A"/>
    <w:rsid w:val="00783D56"/>
    <w:rsid w:val="007848BC"/>
    <w:rsid w:val="00791B0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323B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3E27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1BE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950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365A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5"/>
    <w:rsid w:val="00936E9D"/>
    <w:rsid w:val="0093797C"/>
    <w:rsid w:val="00941D66"/>
    <w:rsid w:val="00942468"/>
    <w:rsid w:val="0094766C"/>
    <w:rsid w:val="009526AE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6D8C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4473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B2A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238A"/>
    <w:rsid w:val="00A460E5"/>
    <w:rsid w:val="00A4639F"/>
    <w:rsid w:val="00A469F6"/>
    <w:rsid w:val="00A46D36"/>
    <w:rsid w:val="00A47D25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1D79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9632E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17D3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6827"/>
    <w:rsid w:val="00B672D8"/>
    <w:rsid w:val="00B70146"/>
    <w:rsid w:val="00B7062A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400B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3612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26F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46843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6286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4F2"/>
    <w:rsid w:val="00CA47D1"/>
    <w:rsid w:val="00CA4843"/>
    <w:rsid w:val="00CA5A9A"/>
    <w:rsid w:val="00CA5F2D"/>
    <w:rsid w:val="00CA5F44"/>
    <w:rsid w:val="00CA6B0E"/>
    <w:rsid w:val="00CA6BD4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36EC"/>
    <w:rsid w:val="00D1584E"/>
    <w:rsid w:val="00D1793C"/>
    <w:rsid w:val="00D20C79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0D57"/>
    <w:rsid w:val="00D533E3"/>
    <w:rsid w:val="00D61837"/>
    <w:rsid w:val="00D63A3E"/>
    <w:rsid w:val="00D6418A"/>
    <w:rsid w:val="00D642F3"/>
    <w:rsid w:val="00D64D74"/>
    <w:rsid w:val="00D66B07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4DA2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909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4F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560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6FAA"/>
    <w:rsid w:val="00F41166"/>
    <w:rsid w:val="00F4156F"/>
    <w:rsid w:val="00F4531E"/>
    <w:rsid w:val="00F47627"/>
    <w:rsid w:val="00F47E9E"/>
    <w:rsid w:val="00F502F6"/>
    <w:rsid w:val="00F5078A"/>
    <w:rsid w:val="00F50896"/>
    <w:rsid w:val="00F50E3C"/>
    <w:rsid w:val="00F519CB"/>
    <w:rsid w:val="00F519EC"/>
    <w:rsid w:val="00F52999"/>
    <w:rsid w:val="00F54992"/>
    <w:rsid w:val="00F54C0F"/>
    <w:rsid w:val="00F56925"/>
    <w:rsid w:val="00F60F30"/>
    <w:rsid w:val="00F628E9"/>
    <w:rsid w:val="00F6297E"/>
    <w:rsid w:val="00F638DD"/>
    <w:rsid w:val="00F642EA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86D8C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86D8C"/>
    <w:rPr>
      <w:rFonts w:ascii="Calibri" w:eastAsia="Calibri" w:hAnsi="Calibri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986D8C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E4DA2"/>
    <w:rPr>
      <w:rFonts w:asciiTheme="minorHAnsi" w:eastAsiaTheme="minorHAnsi" w:hAnsiTheme="minorHAnsi" w:cstheme="minorBidi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E4DA2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86D8C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86D8C"/>
    <w:rPr>
      <w:rFonts w:ascii="Calibri" w:eastAsia="Calibri" w:hAnsi="Calibri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986D8C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E4DA2"/>
    <w:rPr>
      <w:rFonts w:asciiTheme="minorHAnsi" w:eastAsiaTheme="minorHAnsi" w:hAnsiTheme="minorHAnsi" w:cstheme="minorBidi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E4DA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2020/Session-637235739514198424/SessionItem-637235861232551046/34gv-Zaključak o izvr. program gradnje objekata i uređaja kom.inf.docx|1050;#Ø;#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94445B-A31C-42DA-9957-BC586AD694C5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CEE09837-FA93-4F5E-9300-728F3F203F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3428</Words>
  <Characters>19544</Characters>
  <Application>Microsoft Office Word</Application>
  <DocSecurity>0</DocSecurity>
  <Lines>162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22927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3</cp:revision>
  <cp:lastPrinted>2015-12-16T11:15:00Z</cp:lastPrinted>
  <dcterms:created xsi:type="dcterms:W3CDTF">2020-03-13T08:50:00Z</dcterms:created>
  <dcterms:modified xsi:type="dcterms:W3CDTF">2020-03-13T08:52:00Z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